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71C4" w14:textId="77777777" w:rsidR="00D30E09" w:rsidRPr="00392020" w:rsidRDefault="00D30E09" w:rsidP="00392020">
      <w:pPr>
        <w:spacing w:line="276" w:lineRule="auto"/>
        <w:jc w:val="both"/>
        <w:rPr>
          <w:rFonts w:asciiTheme="minorHAnsi" w:hAnsiTheme="minorHAnsi"/>
          <w:b/>
        </w:rPr>
      </w:pPr>
    </w:p>
    <w:p w14:paraId="5E187518" w14:textId="77777777" w:rsidR="00026276" w:rsidRPr="00392020" w:rsidRDefault="009B6727" w:rsidP="00392020">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8"/>
          <w:szCs w:val="28"/>
        </w:rPr>
      </w:pPr>
      <w:r w:rsidRPr="00392020">
        <w:rPr>
          <w:rFonts w:asciiTheme="minorHAnsi" w:hAnsiTheme="minorHAnsi"/>
          <w:b/>
          <w:sz w:val="28"/>
          <w:szCs w:val="28"/>
        </w:rPr>
        <w:t>Credit Union Deposit Guarantee Corporation</w:t>
      </w:r>
    </w:p>
    <w:p w14:paraId="6B511486" w14:textId="77777777" w:rsidR="008A1705" w:rsidRPr="00392020" w:rsidRDefault="008A1705" w:rsidP="00392020">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8"/>
          <w:szCs w:val="28"/>
        </w:rPr>
      </w:pPr>
    </w:p>
    <w:p w14:paraId="208D4DB8" w14:textId="77777777" w:rsidR="00D30E09" w:rsidRPr="00392020" w:rsidRDefault="00D30E09" w:rsidP="00392020">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8"/>
          <w:szCs w:val="28"/>
        </w:rPr>
      </w:pPr>
      <w:r w:rsidRPr="00392020">
        <w:rPr>
          <w:rFonts w:asciiTheme="minorHAnsi" w:hAnsiTheme="minorHAnsi"/>
          <w:b/>
          <w:sz w:val="28"/>
          <w:szCs w:val="28"/>
        </w:rPr>
        <w:t xml:space="preserve">Model Policy – </w:t>
      </w:r>
      <w:r w:rsidR="004F410A" w:rsidRPr="00392020">
        <w:rPr>
          <w:rFonts w:asciiTheme="minorHAnsi" w:hAnsiTheme="minorHAnsi"/>
          <w:b/>
          <w:sz w:val="28"/>
          <w:szCs w:val="28"/>
        </w:rPr>
        <w:t xml:space="preserve">Board </w:t>
      </w:r>
      <w:r w:rsidRPr="00392020">
        <w:rPr>
          <w:rFonts w:asciiTheme="minorHAnsi" w:hAnsiTheme="minorHAnsi"/>
          <w:b/>
          <w:sz w:val="28"/>
          <w:szCs w:val="28"/>
        </w:rPr>
        <w:t>Credit Risk Management</w:t>
      </w:r>
    </w:p>
    <w:p w14:paraId="67EB5B31" w14:textId="77777777" w:rsidR="00D30E09" w:rsidRPr="00392020" w:rsidRDefault="00D30E09" w:rsidP="003920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sz w:val="28"/>
          <w:szCs w:val="28"/>
        </w:rPr>
      </w:pPr>
    </w:p>
    <w:p w14:paraId="4B164E5A" w14:textId="77777777" w:rsidR="003E3D8E" w:rsidRPr="007B2CD7" w:rsidRDefault="009B6727" w:rsidP="003920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Cs w:val="22"/>
        </w:rPr>
      </w:pPr>
      <w:r w:rsidRPr="007B2CD7">
        <w:rPr>
          <w:rFonts w:asciiTheme="minorHAnsi" w:hAnsiTheme="minorHAnsi"/>
          <w:szCs w:val="22"/>
        </w:rPr>
        <w:t xml:space="preserve">The following is an outline of a comprehensive </w:t>
      </w:r>
      <w:bookmarkStart w:id="0" w:name="_GoBack"/>
      <w:r w:rsidRPr="007B2CD7">
        <w:rPr>
          <w:rFonts w:asciiTheme="minorHAnsi" w:hAnsiTheme="minorHAnsi"/>
          <w:szCs w:val="22"/>
        </w:rPr>
        <w:t>Credit Risk Management Policy</w:t>
      </w:r>
      <w:bookmarkEnd w:id="0"/>
      <w:r w:rsidRPr="007B2CD7">
        <w:rPr>
          <w:rFonts w:asciiTheme="minorHAnsi" w:hAnsiTheme="minorHAnsi"/>
          <w:szCs w:val="22"/>
        </w:rPr>
        <w:t xml:space="preserve">, for Board approval and annual review. </w:t>
      </w:r>
      <w:r w:rsidR="00996271" w:rsidRPr="007B2CD7">
        <w:rPr>
          <w:rFonts w:asciiTheme="minorHAnsi" w:hAnsiTheme="minorHAnsi"/>
          <w:szCs w:val="22"/>
        </w:rPr>
        <w:t xml:space="preserve">Any risk tolerance levels included within the model policy are for illustrative purposes only. </w:t>
      </w:r>
      <w:r w:rsidRPr="007B2CD7">
        <w:rPr>
          <w:rFonts w:asciiTheme="minorHAnsi" w:hAnsiTheme="minorHAnsi"/>
          <w:szCs w:val="22"/>
        </w:rPr>
        <w:t>Th</w:t>
      </w:r>
      <w:r w:rsidR="00B027C5" w:rsidRPr="007B2CD7">
        <w:rPr>
          <w:rFonts w:asciiTheme="minorHAnsi" w:hAnsiTheme="minorHAnsi"/>
          <w:szCs w:val="22"/>
        </w:rPr>
        <w:t xml:space="preserve">is comprehensive </w:t>
      </w:r>
      <w:r w:rsidR="00D30E09" w:rsidRPr="007B2CD7">
        <w:rPr>
          <w:rFonts w:asciiTheme="minorHAnsi" w:hAnsiTheme="minorHAnsi"/>
          <w:szCs w:val="22"/>
        </w:rPr>
        <w:t xml:space="preserve">model </w:t>
      </w:r>
      <w:r w:rsidRPr="007B2CD7">
        <w:rPr>
          <w:rFonts w:asciiTheme="minorHAnsi" w:hAnsiTheme="minorHAnsi"/>
          <w:szCs w:val="22"/>
        </w:rPr>
        <w:t>policy</w:t>
      </w:r>
      <w:r w:rsidR="00905FA9" w:rsidRPr="007B2CD7">
        <w:rPr>
          <w:rFonts w:asciiTheme="minorHAnsi" w:hAnsiTheme="minorHAnsi"/>
          <w:szCs w:val="22"/>
        </w:rPr>
        <w:t xml:space="preserve"> </w:t>
      </w:r>
      <w:r w:rsidRPr="007B2CD7">
        <w:rPr>
          <w:rFonts w:asciiTheme="minorHAnsi" w:hAnsiTheme="minorHAnsi"/>
          <w:szCs w:val="22"/>
        </w:rPr>
        <w:t xml:space="preserve">should be </w:t>
      </w:r>
      <w:proofErr w:type="gramStart"/>
      <w:r w:rsidRPr="007B2CD7">
        <w:rPr>
          <w:rFonts w:asciiTheme="minorHAnsi" w:hAnsiTheme="minorHAnsi"/>
          <w:szCs w:val="22"/>
        </w:rPr>
        <w:t>amended</w:t>
      </w:r>
      <w:r w:rsidR="00D30E09" w:rsidRPr="007B2CD7">
        <w:rPr>
          <w:rFonts w:asciiTheme="minorHAnsi" w:hAnsiTheme="minorHAnsi"/>
          <w:szCs w:val="22"/>
        </w:rPr>
        <w:t>, or</w:t>
      </w:r>
      <w:proofErr w:type="gramEnd"/>
      <w:r w:rsidR="00D30E09" w:rsidRPr="007B2CD7">
        <w:rPr>
          <w:rFonts w:asciiTheme="minorHAnsi" w:hAnsiTheme="minorHAnsi"/>
          <w:szCs w:val="22"/>
        </w:rPr>
        <w:t xml:space="preserve"> augmented to</w:t>
      </w:r>
      <w:r w:rsidRPr="007B2CD7">
        <w:rPr>
          <w:rFonts w:asciiTheme="minorHAnsi" w:hAnsiTheme="minorHAnsi"/>
          <w:szCs w:val="22"/>
        </w:rPr>
        <w:t xml:space="preserve"> reflect the unique characteristics of the </w:t>
      </w:r>
      <w:r w:rsidR="00E57966" w:rsidRPr="007B2CD7">
        <w:rPr>
          <w:rFonts w:asciiTheme="minorHAnsi" w:hAnsiTheme="minorHAnsi"/>
          <w:szCs w:val="22"/>
        </w:rPr>
        <w:t>c</w:t>
      </w:r>
      <w:r w:rsidRPr="007B2CD7">
        <w:rPr>
          <w:rFonts w:asciiTheme="minorHAnsi" w:hAnsiTheme="minorHAnsi"/>
          <w:szCs w:val="22"/>
        </w:rPr>
        <w:t xml:space="preserve">redit </w:t>
      </w:r>
      <w:r w:rsidR="00E57966" w:rsidRPr="007B2CD7">
        <w:rPr>
          <w:rFonts w:asciiTheme="minorHAnsi" w:hAnsiTheme="minorHAnsi"/>
          <w:szCs w:val="22"/>
        </w:rPr>
        <w:t>u</w:t>
      </w:r>
      <w:r w:rsidRPr="007B2CD7">
        <w:rPr>
          <w:rFonts w:asciiTheme="minorHAnsi" w:hAnsiTheme="minorHAnsi"/>
          <w:szCs w:val="22"/>
        </w:rPr>
        <w:t xml:space="preserve">nion, including the scope of credit risk activities, </w:t>
      </w:r>
      <w:r w:rsidR="007A0833" w:rsidRPr="007B2CD7">
        <w:rPr>
          <w:rFonts w:asciiTheme="minorHAnsi" w:hAnsiTheme="minorHAnsi"/>
          <w:szCs w:val="22"/>
        </w:rPr>
        <w:t>and the sophistication</w:t>
      </w:r>
      <w:r w:rsidR="000C65BE" w:rsidRPr="007B2CD7">
        <w:rPr>
          <w:rFonts w:asciiTheme="minorHAnsi" w:hAnsiTheme="minorHAnsi"/>
          <w:szCs w:val="22"/>
        </w:rPr>
        <w:t xml:space="preserve"> of</w:t>
      </w:r>
      <w:r w:rsidR="007A0833" w:rsidRPr="007B2CD7">
        <w:rPr>
          <w:rFonts w:asciiTheme="minorHAnsi" w:hAnsiTheme="minorHAnsi"/>
          <w:szCs w:val="22"/>
        </w:rPr>
        <w:t xml:space="preserve"> risk management </w:t>
      </w:r>
      <w:r w:rsidRPr="007B2CD7">
        <w:rPr>
          <w:rFonts w:asciiTheme="minorHAnsi" w:hAnsiTheme="minorHAnsi"/>
          <w:szCs w:val="22"/>
        </w:rPr>
        <w:t>and technology.</w:t>
      </w:r>
    </w:p>
    <w:p w14:paraId="31C8AD96" w14:textId="77777777" w:rsidR="00A01E0B" w:rsidRPr="00392020" w:rsidRDefault="00A01E0B" w:rsidP="003920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i/>
          <w:color w:val="FF0000"/>
          <w:sz w:val="20"/>
          <w:szCs w:val="20"/>
        </w:rPr>
      </w:pPr>
    </w:p>
    <w:p w14:paraId="7AB813A1" w14:textId="77777777" w:rsidR="00D30E09" w:rsidRPr="00392020" w:rsidRDefault="003E3D8E" w:rsidP="003920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i/>
          <w:color w:val="FF0000"/>
          <w:sz w:val="20"/>
          <w:szCs w:val="20"/>
        </w:rPr>
      </w:pPr>
      <w:r w:rsidRPr="00392020">
        <w:rPr>
          <w:rFonts w:asciiTheme="minorHAnsi" w:hAnsiTheme="minorHAnsi"/>
          <w:b/>
          <w:i/>
          <w:color w:val="FF0000"/>
          <w:sz w:val="20"/>
          <w:szCs w:val="20"/>
        </w:rPr>
        <w:t>(Please delete this text box)</w:t>
      </w:r>
    </w:p>
    <w:p w14:paraId="02D5F3EA" w14:textId="77777777" w:rsidR="004D57BD" w:rsidRPr="00392020" w:rsidRDefault="004D57BD" w:rsidP="0039202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szCs w:val="22"/>
        </w:rPr>
      </w:pPr>
    </w:p>
    <w:p w14:paraId="64FB0530" w14:textId="77777777" w:rsidR="00E57966" w:rsidRPr="00392020" w:rsidRDefault="00E57966" w:rsidP="00392020">
      <w:pPr>
        <w:spacing w:line="276" w:lineRule="auto"/>
        <w:jc w:val="both"/>
        <w:rPr>
          <w:rFonts w:asciiTheme="minorHAnsi" w:hAnsiTheme="minorHAnsi"/>
          <w:szCs w:val="22"/>
        </w:rPr>
      </w:pPr>
    </w:p>
    <w:p w14:paraId="0D02F096" w14:textId="77777777" w:rsidR="00E57966" w:rsidRPr="00392020" w:rsidRDefault="00E57966" w:rsidP="00392020">
      <w:pPr>
        <w:spacing w:line="276" w:lineRule="auto"/>
        <w:jc w:val="both"/>
        <w:rPr>
          <w:rFonts w:asciiTheme="minorHAnsi" w:hAnsiTheme="minorHAnsi"/>
          <w:szCs w:val="22"/>
        </w:rPr>
      </w:pPr>
    </w:p>
    <w:p w14:paraId="44D4756C" w14:textId="77777777" w:rsidR="00EB6A04" w:rsidRPr="00392020" w:rsidRDefault="00EB6A04" w:rsidP="00392020">
      <w:pPr>
        <w:spacing w:line="276" w:lineRule="auto"/>
        <w:rPr>
          <w:rFonts w:asciiTheme="minorHAnsi" w:hAnsiTheme="minorHAnsi"/>
          <w:szCs w:val="22"/>
        </w:rPr>
      </w:pPr>
    </w:p>
    <w:p w14:paraId="25A97C4A" w14:textId="77777777" w:rsidR="00EB6A04" w:rsidRPr="00392020" w:rsidRDefault="00EB6A04" w:rsidP="00392020">
      <w:pPr>
        <w:spacing w:line="276" w:lineRule="auto"/>
        <w:rPr>
          <w:rFonts w:asciiTheme="minorHAnsi" w:hAnsiTheme="minorHAnsi"/>
          <w:szCs w:val="22"/>
        </w:rPr>
      </w:pPr>
    </w:p>
    <w:p w14:paraId="7211E45E" w14:textId="77777777" w:rsidR="00EB6A04" w:rsidRPr="00392020" w:rsidRDefault="00EB6A04" w:rsidP="00392020">
      <w:pPr>
        <w:spacing w:line="276" w:lineRule="auto"/>
        <w:rPr>
          <w:rFonts w:asciiTheme="minorHAnsi" w:hAnsiTheme="minorHAnsi"/>
          <w:szCs w:val="22"/>
        </w:rPr>
      </w:pPr>
    </w:p>
    <w:p w14:paraId="3372E0E9" w14:textId="77777777" w:rsidR="00026276" w:rsidRPr="00392020" w:rsidRDefault="00D30E09" w:rsidP="00392020">
      <w:pPr>
        <w:spacing w:after="120" w:line="276" w:lineRule="auto"/>
        <w:jc w:val="center"/>
        <w:rPr>
          <w:rFonts w:asciiTheme="minorHAnsi" w:hAnsiTheme="minorHAnsi"/>
          <w:b/>
          <w:i/>
          <w:sz w:val="28"/>
          <w:szCs w:val="28"/>
        </w:rPr>
      </w:pPr>
      <w:r w:rsidRPr="00392020">
        <w:rPr>
          <w:rFonts w:asciiTheme="minorHAnsi" w:hAnsiTheme="minorHAnsi"/>
          <w:b/>
          <w:i/>
          <w:sz w:val="28"/>
          <w:szCs w:val="28"/>
        </w:rPr>
        <w:t xml:space="preserve">Board </w:t>
      </w:r>
      <w:r w:rsidR="009B6727" w:rsidRPr="00392020">
        <w:rPr>
          <w:rFonts w:asciiTheme="minorHAnsi" w:hAnsiTheme="minorHAnsi"/>
          <w:b/>
          <w:i/>
          <w:sz w:val="28"/>
          <w:szCs w:val="28"/>
        </w:rPr>
        <w:t>Credit Risk Management Policy</w:t>
      </w:r>
    </w:p>
    <w:p w14:paraId="592B20BC" w14:textId="77777777" w:rsidR="003C3D37" w:rsidRPr="00392020" w:rsidRDefault="002747D8" w:rsidP="00392020">
      <w:pPr>
        <w:spacing w:after="120" w:line="276" w:lineRule="auto"/>
        <w:jc w:val="center"/>
        <w:rPr>
          <w:rFonts w:asciiTheme="minorHAnsi" w:hAnsiTheme="minorHAnsi"/>
          <w:b/>
          <w:i/>
          <w:color w:val="5B9BD5"/>
          <w:sz w:val="28"/>
          <w:szCs w:val="28"/>
        </w:rPr>
      </w:pPr>
      <w:r w:rsidRPr="00392020">
        <w:rPr>
          <w:rFonts w:asciiTheme="minorHAnsi" w:hAnsiTheme="minorHAnsi"/>
          <w:b/>
          <w:i/>
          <w:color w:val="5B9BD5"/>
          <w:sz w:val="28"/>
          <w:szCs w:val="28"/>
        </w:rPr>
        <w:fldChar w:fldCharType="begin"/>
      </w:r>
      <w:r w:rsidRPr="00392020">
        <w:rPr>
          <w:rFonts w:asciiTheme="minorHAnsi" w:hAnsiTheme="minorHAnsi"/>
          <w:b/>
          <w:i/>
          <w:color w:val="5B9BD5"/>
          <w:sz w:val="28"/>
          <w:szCs w:val="28"/>
        </w:rPr>
        <w:instrText xml:space="preserve"> MACROBUTTON  AcceptAllChangesInDoc "Your Credit Union Name" </w:instrText>
      </w:r>
      <w:r w:rsidRPr="00392020">
        <w:rPr>
          <w:rFonts w:asciiTheme="minorHAnsi" w:hAnsiTheme="minorHAnsi"/>
          <w:b/>
          <w:i/>
          <w:color w:val="5B9BD5"/>
          <w:sz w:val="28"/>
          <w:szCs w:val="28"/>
        </w:rPr>
        <w:fldChar w:fldCharType="end"/>
      </w:r>
    </w:p>
    <w:p w14:paraId="6693C12F" w14:textId="77777777" w:rsidR="009B6727" w:rsidRPr="00392020" w:rsidRDefault="007A0833" w:rsidP="00392020">
      <w:pPr>
        <w:spacing w:after="120" w:line="276" w:lineRule="auto"/>
        <w:jc w:val="center"/>
        <w:rPr>
          <w:rFonts w:asciiTheme="minorHAnsi" w:hAnsiTheme="minorHAnsi"/>
          <w:b/>
          <w:i/>
          <w:sz w:val="28"/>
          <w:szCs w:val="28"/>
        </w:rPr>
      </w:pPr>
      <w:r w:rsidRPr="00392020">
        <w:rPr>
          <w:rFonts w:asciiTheme="minorHAnsi" w:hAnsiTheme="minorHAnsi"/>
          <w:b/>
          <w:i/>
          <w:sz w:val="28"/>
          <w:szCs w:val="28"/>
        </w:rPr>
        <w:t>Month/Day/Year</w:t>
      </w:r>
    </w:p>
    <w:p w14:paraId="4D670FB3" w14:textId="77777777" w:rsidR="009B6727" w:rsidRPr="00392020" w:rsidRDefault="009B6727" w:rsidP="00392020">
      <w:pPr>
        <w:spacing w:line="276" w:lineRule="auto"/>
        <w:jc w:val="center"/>
        <w:rPr>
          <w:rFonts w:asciiTheme="minorHAnsi" w:hAnsiTheme="minorHAnsi"/>
          <w:szCs w:val="22"/>
        </w:rPr>
      </w:pPr>
    </w:p>
    <w:p w14:paraId="05D227E3" w14:textId="77777777" w:rsidR="00EB6A04" w:rsidRPr="00392020" w:rsidRDefault="00EB6A04" w:rsidP="00392020">
      <w:pPr>
        <w:spacing w:line="276" w:lineRule="auto"/>
        <w:jc w:val="center"/>
        <w:rPr>
          <w:rFonts w:asciiTheme="minorHAnsi" w:hAnsiTheme="minorHAnsi"/>
          <w:szCs w:val="22"/>
        </w:rPr>
      </w:pPr>
    </w:p>
    <w:p w14:paraId="6A50EB7B" w14:textId="77777777" w:rsidR="00D30E09" w:rsidRPr="00392020" w:rsidRDefault="00D30E09" w:rsidP="00392020">
      <w:pPr>
        <w:spacing w:line="276" w:lineRule="auto"/>
        <w:jc w:val="center"/>
        <w:rPr>
          <w:rFonts w:asciiTheme="minorHAnsi" w:hAnsiTheme="minorHAnsi"/>
          <w:szCs w:val="22"/>
        </w:rPr>
      </w:pPr>
    </w:p>
    <w:p w14:paraId="3D66BA7B" w14:textId="77777777" w:rsidR="00EB6A04" w:rsidRPr="00392020" w:rsidRDefault="00EB6A04" w:rsidP="00392020">
      <w:pPr>
        <w:spacing w:line="276" w:lineRule="auto"/>
        <w:jc w:val="center"/>
        <w:rPr>
          <w:rFonts w:asciiTheme="minorHAnsi" w:hAnsiTheme="minorHAnsi"/>
          <w:szCs w:val="22"/>
        </w:rPr>
      </w:pPr>
    </w:p>
    <w:p w14:paraId="290CD0A2" w14:textId="77777777" w:rsidR="009B6727" w:rsidRPr="00392020" w:rsidRDefault="009B6727" w:rsidP="00392020">
      <w:pPr>
        <w:spacing w:line="276" w:lineRule="auto"/>
        <w:jc w:val="center"/>
        <w:rPr>
          <w:rFonts w:asciiTheme="minorHAnsi" w:hAnsiTheme="minorHAns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6"/>
        <w:gridCol w:w="1070"/>
        <w:gridCol w:w="4314"/>
        <w:gridCol w:w="2268"/>
      </w:tblGrid>
      <w:tr w:rsidR="00181DF3" w:rsidRPr="00392020" w14:paraId="59EC7484" w14:textId="77777777" w:rsidTr="00580562">
        <w:tc>
          <w:tcPr>
            <w:tcW w:w="9889" w:type="dxa"/>
            <w:gridSpan w:val="5"/>
            <w:shd w:val="clear" w:color="auto" w:fill="DAEEF3"/>
          </w:tcPr>
          <w:p w14:paraId="6BACA96C" w14:textId="77777777" w:rsidR="00181DF3" w:rsidRPr="00392020" w:rsidRDefault="00181DF3" w:rsidP="00392020">
            <w:pPr>
              <w:spacing w:line="276" w:lineRule="auto"/>
              <w:jc w:val="center"/>
              <w:rPr>
                <w:rFonts w:asciiTheme="minorHAnsi" w:hAnsiTheme="minorHAnsi"/>
                <w:szCs w:val="22"/>
              </w:rPr>
            </w:pPr>
            <w:r w:rsidRPr="00392020">
              <w:rPr>
                <w:rFonts w:asciiTheme="minorHAnsi" w:hAnsiTheme="minorHAnsi"/>
                <w:szCs w:val="22"/>
              </w:rPr>
              <w:t>Policy Recommendation/Approval</w:t>
            </w:r>
          </w:p>
        </w:tc>
      </w:tr>
      <w:tr w:rsidR="00E338D5" w:rsidRPr="00392020" w14:paraId="029CC81C" w14:textId="77777777" w:rsidTr="00580562">
        <w:tc>
          <w:tcPr>
            <w:tcW w:w="1101" w:type="dxa"/>
            <w:shd w:val="clear" w:color="auto" w:fill="DAEEF3"/>
          </w:tcPr>
          <w:p w14:paraId="5F3ED587" w14:textId="77777777" w:rsidR="00181DF3" w:rsidRPr="00392020" w:rsidRDefault="00181DF3" w:rsidP="00392020">
            <w:pPr>
              <w:spacing w:line="276" w:lineRule="auto"/>
              <w:rPr>
                <w:rFonts w:asciiTheme="minorHAnsi" w:hAnsiTheme="minorHAnsi"/>
                <w:szCs w:val="22"/>
              </w:rPr>
            </w:pPr>
            <w:r w:rsidRPr="00392020">
              <w:rPr>
                <w:rFonts w:asciiTheme="minorHAnsi" w:hAnsiTheme="minorHAnsi"/>
                <w:szCs w:val="22"/>
              </w:rPr>
              <w:t>Version</w:t>
            </w:r>
          </w:p>
        </w:tc>
        <w:tc>
          <w:tcPr>
            <w:tcW w:w="1136" w:type="dxa"/>
            <w:shd w:val="clear" w:color="auto" w:fill="DAEEF3"/>
          </w:tcPr>
          <w:p w14:paraId="08927343" w14:textId="77777777" w:rsidR="00181DF3" w:rsidRPr="00392020" w:rsidRDefault="00181DF3" w:rsidP="00392020">
            <w:pPr>
              <w:spacing w:line="276" w:lineRule="auto"/>
              <w:jc w:val="center"/>
              <w:rPr>
                <w:rFonts w:asciiTheme="minorHAnsi" w:hAnsiTheme="minorHAnsi"/>
                <w:szCs w:val="22"/>
              </w:rPr>
            </w:pPr>
            <w:r w:rsidRPr="00392020">
              <w:rPr>
                <w:rFonts w:asciiTheme="minorHAnsi" w:hAnsiTheme="minorHAnsi"/>
                <w:szCs w:val="22"/>
              </w:rPr>
              <w:t>Original</w:t>
            </w:r>
          </w:p>
        </w:tc>
        <w:tc>
          <w:tcPr>
            <w:tcW w:w="1070" w:type="dxa"/>
            <w:shd w:val="clear" w:color="auto" w:fill="DAEEF3"/>
          </w:tcPr>
          <w:p w14:paraId="755C954C" w14:textId="77777777" w:rsidR="00181DF3" w:rsidRPr="00392020" w:rsidRDefault="00181DF3" w:rsidP="00392020">
            <w:pPr>
              <w:spacing w:line="276" w:lineRule="auto"/>
              <w:jc w:val="center"/>
              <w:rPr>
                <w:rFonts w:asciiTheme="minorHAnsi" w:hAnsiTheme="minorHAnsi"/>
                <w:szCs w:val="22"/>
              </w:rPr>
            </w:pPr>
            <w:r w:rsidRPr="00392020">
              <w:rPr>
                <w:rFonts w:asciiTheme="minorHAnsi" w:hAnsiTheme="minorHAnsi"/>
                <w:szCs w:val="22"/>
              </w:rPr>
              <w:t>Review</w:t>
            </w:r>
          </w:p>
        </w:tc>
        <w:tc>
          <w:tcPr>
            <w:tcW w:w="4314" w:type="dxa"/>
            <w:shd w:val="clear" w:color="auto" w:fill="DAEEF3"/>
            <w:vAlign w:val="center"/>
          </w:tcPr>
          <w:p w14:paraId="7BD87B25" w14:textId="77777777" w:rsidR="00181DF3" w:rsidRPr="00392020" w:rsidRDefault="00181DF3" w:rsidP="00392020">
            <w:pPr>
              <w:spacing w:line="276" w:lineRule="auto"/>
              <w:rPr>
                <w:rFonts w:asciiTheme="minorHAnsi" w:hAnsiTheme="minorHAnsi"/>
                <w:szCs w:val="22"/>
              </w:rPr>
            </w:pPr>
            <w:r w:rsidRPr="00392020">
              <w:rPr>
                <w:rFonts w:asciiTheme="minorHAnsi" w:hAnsiTheme="minorHAnsi"/>
                <w:szCs w:val="22"/>
              </w:rPr>
              <w:t>Responsibility</w:t>
            </w:r>
          </w:p>
        </w:tc>
        <w:tc>
          <w:tcPr>
            <w:tcW w:w="2268" w:type="dxa"/>
            <w:shd w:val="clear" w:color="auto" w:fill="DAEEF3"/>
          </w:tcPr>
          <w:p w14:paraId="3AF92211" w14:textId="77777777" w:rsidR="00181DF3" w:rsidRPr="00392020" w:rsidRDefault="00181DF3" w:rsidP="00392020">
            <w:pPr>
              <w:spacing w:line="276" w:lineRule="auto"/>
              <w:jc w:val="center"/>
              <w:rPr>
                <w:rFonts w:asciiTheme="minorHAnsi" w:hAnsiTheme="minorHAnsi"/>
                <w:szCs w:val="22"/>
              </w:rPr>
            </w:pPr>
            <w:r w:rsidRPr="00392020">
              <w:rPr>
                <w:rFonts w:asciiTheme="minorHAnsi" w:hAnsiTheme="minorHAnsi"/>
                <w:szCs w:val="22"/>
              </w:rPr>
              <w:t>Date</w:t>
            </w:r>
          </w:p>
        </w:tc>
      </w:tr>
      <w:tr w:rsidR="00E338D5" w:rsidRPr="00392020" w14:paraId="0AC4B176" w14:textId="77777777" w:rsidTr="00580562">
        <w:tc>
          <w:tcPr>
            <w:tcW w:w="1101" w:type="dxa"/>
            <w:vAlign w:val="center"/>
          </w:tcPr>
          <w:p w14:paraId="53B59D28" w14:textId="77777777" w:rsidR="00181DF3" w:rsidRPr="00392020" w:rsidRDefault="00181DF3" w:rsidP="00392020">
            <w:pPr>
              <w:spacing w:line="276" w:lineRule="auto"/>
              <w:jc w:val="center"/>
              <w:rPr>
                <w:rFonts w:asciiTheme="minorHAnsi" w:hAnsiTheme="minorHAnsi"/>
                <w:szCs w:val="22"/>
              </w:rPr>
            </w:pPr>
            <w:r w:rsidRPr="00392020">
              <w:rPr>
                <w:rFonts w:asciiTheme="minorHAnsi" w:hAnsiTheme="minorHAnsi"/>
                <w:szCs w:val="22"/>
              </w:rPr>
              <w:t>1.0</w:t>
            </w:r>
          </w:p>
        </w:tc>
        <w:tc>
          <w:tcPr>
            <w:tcW w:w="1136" w:type="dxa"/>
            <w:vAlign w:val="center"/>
          </w:tcPr>
          <w:p w14:paraId="795AF035" w14:textId="77777777" w:rsidR="00181DF3" w:rsidRPr="00392020" w:rsidRDefault="00181DF3" w:rsidP="00392020">
            <w:pPr>
              <w:spacing w:line="276" w:lineRule="auto"/>
              <w:jc w:val="center"/>
              <w:rPr>
                <w:rFonts w:asciiTheme="minorHAnsi" w:hAnsiTheme="minorHAnsi"/>
                <w:szCs w:val="22"/>
              </w:rPr>
            </w:pPr>
            <w:r w:rsidRPr="00392020">
              <w:rPr>
                <w:rFonts w:asciiTheme="minorHAnsi" w:hAnsiTheme="minorHAnsi"/>
                <w:szCs w:val="22"/>
              </w:rPr>
              <w:t>X</w:t>
            </w:r>
          </w:p>
        </w:tc>
        <w:tc>
          <w:tcPr>
            <w:tcW w:w="1070" w:type="dxa"/>
            <w:vAlign w:val="center"/>
          </w:tcPr>
          <w:p w14:paraId="30BE0895" w14:textId="77777777" w:rsidR="00181DF3" w:rsidRPr="00392020" w:rsidRDefault="00181DF3" w:rsidP="00392020">
            <w:pPr>
              <w:spacing w:line="276" w:lineRule="auto"/>
              <w:jc w:val="center"/>
              <w:rPr>
                <w:rFonts w:asciiTheme="minorHAnsi" w:hAnsiTheme="minorHAnsi"/>
                <w:szCs w:val="22"/>
              </w:rPr>
            </w:pPr>
          </w:p>
        </w:tc>
        <w:tc>
          <w:tcPr>
            <w:tcW w:w="4314" w:type="dxa"/>
            <w:vAlign w:val="center"/>
          </w:tcPr>
          <w:p w14:paraId="055C0231" w14:textId="77777777" w:rsidR="00181DF3" w:rsidRPr="00392020" w:rsidRDefault="00181DF3" w:rsidP="00392020">
            <w:pPr>
              <w:spacing w:line="276" w:lineRule="auto"/>
              <w:rPr>
                <w:rFonts w:asciiTheme="minorHAnsi" w:hAnsiTheme="minorHAnsi"/>
                <w:szCs w:val="22"/>
              </w:rPr>
            </w:pPr>
            <w:r w:rsidRPr="00392020">
              <w:rPr>
                <w:rFonts w:asciiTheme="minorHAnsi" w:hAnsiTheme="minorHAnsi"/>
                <w:szCs w:val="22"/>
              </w:rPr>
              <w:t xml:space="preserve">Management </w:t>
            </w:r>
            <w:r w:rsidR="004F410A" w:rsidRPr="00392020">
              <w:rPr>
                <w:rFonts w:asciiTheme="minorHAnsi" w:hAnsiTheme="minorHAnsi"/>
                <w:szCs w:val="22"/>
              </w:rPr>
              <w:t>Credit</w:t>
            </w:r>
            <w:r w:rsidRPr="00392020">
              <w:rPr>
                <w:rFonts w:asciiTheme="minorHAnsi" w:hAnsiTheme="minorHAnsi"/>
                <w:szCs w:val="22"/>
              </w:rPr>
              <w:t xml:space="preserve"> Committee</w:t>
            </w:r>
          </w:p>
        </w:tc>
        <w:tc>
          <w:tcPr>
            <w:tcW w:w="2268" w:type="dxa"/>
            <w:vAlign w:val="center"/>
          </w:tcPr>
          <w:p w14:paraId="35CCBEE9" w14:textId="77777777" w:rsidR="00181DF3" w:rsidRPr="00392020" w:rsidRDefault="00181DF3" w:rsidP="00392020">
            <w:pPr>
              <w:spacing w:line="276" w:lineRule="auto"/>
              <w:rPr>
                <w:rFonts w:asciiTheme="minorHAnsi" w:hAnsiTheme="minorHAnsi"/>
                <w:szCs w:val="22"/>
              </w:rPr>
            </w:pPr>
          </w:p>
        </w:tc>
      </w:tr>
      <w:tr w:rsidR="00E338D5" w:rsidRPr="00392020" w14:paraId="0AE8DAC5" w14:textId="77777777" w:rsidTr="00580562">
        <w:tc>
          <w:tcPr>
            <w:tcW w:w="1101" w:type="dxa"/>
            <w:vAlign w:val="center"/>
          </w:tcPr>
          <w:p w14:paraId="36D8B3EA" w14:textId="77777777" w:rsidR="00181DF3" w:rsidRPr="00392020" w:rsidRDefault="00905FA9" w:rsidP="00392020">
            <w:pPr>
              <w:spacing w:line="276" w:lineRule="auto"/>
              <w:jc w:val="center"/>
              <w:rPr>
                <w:rFonts w:asciiTheme="minorHAnsi" w:hAnsiTheme="minorHAnsi"/>
                <w:szCs w:val="22"/>
              </w:rPr>
            </w:pPr>
            <w:r w:rsidRPr="00392020">
              <w:rPr>
                <w:rFonts w:asciiTheme="minorHAnsi" w:hAnsiTheme="minorHAnsi"/>
                <w:szCs w:val="22"/>
              </w:rPr>
              <w:t>1.0</w:t>
            </w:r>
          </w:p>
        </w:tc>
        <w:tc>
          <w:tcPr>
            <w:tcW w:w="1136" w:type="dxa"/>
            <w:vAlign w:val="center"/>
          </w:tcPr>
          <w:p w14:paraId="327AECC1" w14:textId="77777777" w:rsidR="00181DF3" w:rsidRPr="00392020" w:rsidRDefault="00181DF3" w:rsidP="00392020">
            <w:pPr>
              <w:spacing w:line="276" w:lineRule="auto"/>
              <w:jc w:val="center"/>
              <w:rPr>
                <w:rFonts w:asciiTheme="minorHAnsi" w:hAnsiTheme="minorHAnsi"/>
                <w:szCs w:val="22"/>
              </w:rPr>
            </w:pPr>
            <w:r w:rsidRPr="00392020">
              <w:rPr>
                <w:rFonts w:asciiTheme="minorHAnsi" w:hAnsiTheme="minorHAnsi"/>
                <w:szCs w:val="22"/>
              </w:rPr>
              <w:t>X</w:t>
            </w:r>
          </w:p>
        </w:tc>
        <w:tc>
          <w:tcPr>
            <w:tcW w:w="1070" w:type="dxa"/>
            <w:vAlign w:val="center"/>
          </w:tcPr>
          <w:p w14:paraId="30D96C4D" w14:textId="77777777" w:rsidR="00181DF3" w:rsidRPr="00392020" w:rsidRDefault="00181DF3" w:rsidP="00392020">
            <w:pPr>
              <w:spacing w:line="276" w:lineRule="auto"/>
              <w:jc w:val="center"/>
              <w:rPr>
                <w:rFonts w:asciiTheme="minorHAnsi" w:hAnsiTheme="minorHAnsi"/>
                <w:szCs w:val="22"/>
              </w:rPr>
            </w:pPr>
          </w:p>
        </w:tc>
        <w:tc>
          <w:tcPr>
            <w:tcW w:w="4314" w:type="dxa"/>
            <w:vAlign w:val="center"/>
          </w:tcPr>
          <w:p w14:paraId="201C84B1" w14:textId="77777777" w:rsidR="00181DF3" w:rsidRPr="00392020" w:rsidRDefault="00181DF3" w:rsidP="00392020">
            <w:pPr>
              <w:spacing w:line="276" w:lineRule="auto"/>
              <w:rPr>
                <w:rFonts w:asciiTheme="minorHAnsi" w:hAnsiTheme="minorHAnsi"/>
                <w:szCs w:val="22"/>
              </w:rPr>
            </w:pPr>
            <w:r w:rsidRPr="00392020">
              <w:rPr>
                <w:rFonts w:asciiTheme="minorHAnsi" w:hAnsiTheme="minorHAnsi"/>
                <w:szCs w:val="22"/>
              </w:rPr>
              <w:t xml:space="preserve">Board </w:t>
            </w:r>
            <w:r w:rsidR="004F410A" w:rsidRPr="00392020">
              <w:rPr>
                <w:rFonts w:asciiTheme="minorHAnsi" w:hAnsiTheme="minorHAnsi"/>
                <w:szCs w:val="22"/>
              </w:rPr>
              <w:t>(</w:t>
            </w:r>
            <w:r w:rsidRPr="00392020">
              <w:rPr>
                <w:rFonts w:asciiTheme="minorHAnsi" w:hAnsiTheme="minorHAnsi"/>
                <w:szCs w:val="22"/>
              </w:rPr>
              <w:t>Risk</w:t>
            </w:r>
            <w:r w:rsidR="004F410A" w:rsidRPr="00392020">
              <w:rPr>
                <w:rFonts w:asciiTheme="minorHAnsi" w:hAnsiTheme="minorHAnsi"/>
                <w:szCs w:val="22"/>
              </w:rPr>
              <w:t>)</w:t>
            </w:r>
            <w:r w:rsidRPr="00392020">
              <w:rPr>
                <w:rFonts w:asciiTheme="minorHAnsi" w:hAnsiTheme="minorHAnsi"/>
                <w:szCs w:val="22"/>
              </w:rPr>
              <w:t xml:space="preserve"> Committee</w:t>
            </w:r>
          </w:p>
        </w:tc>
        <w:tc>
          <w:tcPr>
            <w:tcW w:w="2268" w:type="dxa"/>
            <w:vAlign w:val="center"/>
          </w:tcPr>
          <w:p w14:paraId="011B2F0E" w14:textId="77777777" w:rsidR="00181DF3" w:rsidRPr="00392020" w:rsidRDefault="00181DF3" w:rsidP="00392020">
            <w:pPr>
              <w:spacing w:line="276" w:lineRule="auto"/>
              <w:rPr>
                <w:rFonts w:asciiTheme="minorHAnsi" w:hAnsiTheme="minorHAnsi"/>
                <w:szCs w:val="22"/>
              </w:rPr>
            </w:pPr>
          </w:p>
        </w:tc>
      </w:tr>
      <w:tr w:rsidR="00E338D5" w:rsidRPr="00392020" w14:paraId="5523C1B1" w14:textId="77777777" w:rsidTr="00580562">
        <w:tc>
          <w:tcPr>
            <w:tcW w:w="1101" w:type="dxa"/>
            <w:vAlign w:val="center"/>
          </w:tcPr>
          <w:p w14:paraId="221D7144" w14:textId="77777777" w:rsidR="00EB6A04" w:rsidRPr="00392020" w:rsidRDefault="00905FA9" w:rsidP="00392020">
            <w:pPr>
              <w:spacing w:line="276" w:lineRule="auto"/>
              <w:jc w:val="center"/>
              <w:rPr>
                <w:rFonts w:asciiTheme="minorHAnsi" w:hAnsiTheme="minorHAnsi"/>
                <w:szCs w:val="22"/>
              </w:rPr>
            </w:pPr>
            <w:r w:rsidRPr="00392020">
              <w:rPr>
                <w:rFonts w:asciiTheme="minorHAnsi" w:hAnsiTheme="minorHAnsi"/>
                <w:szCs w:val="22"/>
              </w:rPr>
              <w:t>1.0</w:t>
            </w:r>
          </w:p>
        </w:tc>
        <w:tc>
          <w:tcPr>
            <w:tcW w:w="1136" w:type="dxa"/>
            <w:vAlign w:val="center"/>
          </w:tcPr>
          <w:p w14:paraId="5E8EF76F" w14:textId="77777777" w:rsidR="00EB6A04" w:rsidRPr="00392020" w:rsidRDefault="00905FA9" w:rsidP="00392020">
            <w:pPr>
              <w:spacing w:line="276" w:lineRule="auto"/>
              <w:jc w:val="center"/>
              <w:rPr>
                <w:rFonts w:asciiTheme="minorHAnsi" w:hAnsiTheme="minorHAnsi"/>
                <w:szCs w:val="22"/>
              </w:rPr>
            </w:pPr>
            <w:r w:rsidRPr="00392020">
              <w:rPr>
                <w:rFonts w:asciiTheme="minorHAnsi" w:hAnsiTheme="minorHAnsi"/>
                <w:szCs w:val="22"/>
              </w:rPr>
              <w:t>X</w:t>
            </w:r>
          </w:p>
        </w:tc>
        <w:tc>
          <w:tcPr>
            <w:tcW w:w="1070" w:type="dxa"/>
            <w:vAlign w:val="center"/>
          </w:tcPr>
          <w:p w14:paraId="2DB74896" w14:textId="77777777" w:rsidR="00EB6A04" w:rsidRPr="00392020" w:rsidRDefault="00EB6A04" w:rsidP="00392020">
            <w:pPr>
              <w:spacing w:line="276" w:lineRule="auto"/>
              <w:jc w:val="center"/>
              <w:rPr>
                <w:rFonts w:asciiTheme="minorHAnsi" w:hAnsiTheme="minorHAnsi"/>
                <w:szCs w:val="22"/>
              </w:rPr>
            </w:pPr>
          </w:p>
        </w:tc>
        <w:tc>
          <w:tcPr>
            <w:tcW w:w="4314" w:type="dxa"/>
            <w:vAlign w:val="center"/>
          </w:tcPr>
          <w:p w14:paraId="6B6869D2" w14:textId="77777777" w:rsidR="00EB6A04" w:rsidRPr="00392020" w:rsidRDefault="00905FA9" w:rsidP="00392020">
            <w:pPr>
              <w:spacing w:line="276" w:lineRule="auto"/>
              <w:rPr>
                <w:rFonts w:asciiTheme="minorHAnsi" w:hAnsiTheme="minorHAnsi"/>
                <w:szCs w:val="22"/>
              </w:rPr>
            </w:pPr>
            <w:r w:rsidRPr="00392020">
              <w:rPr>
                <w:rFonts w:asciiTheme="minorHAnsi" w:hAnsiTheme="minorHAnsi"/>
                <w:szCs w:val="22"/>
              </w:rPr>
              <w:t>Board of Directors</w:t>
            </w:r>
          </w:p>
        </w:tc>
        <w:tc>
          <w:tcPr>
            <w:tcW w:w="2268" w:type="dxa"/>
            <w:vAlign w:val="center"/>
          </w:tcPr>
          <w:p w14:paraId="1FB09A7F" w14:textId="77777777" w:rsidR="00EB6A04" w:rsidRPr="00392020" w:rsidRDefault="00EB6A04" w:rsidP="00392020">
            <w:pPr>
              <w:spacing w:line="276" w:lineRule="auto"/>
              <w:rPr>
                <w:rFonts w:asciiTheme="minorHAnsi" w:hAnsiTheme="minorHAnsi"/>
                <w:szCs w:val="22"/>
              </w:rPr>
            </w:pPr>
          </w:p>
        </w:tc>
      </w:tr>
      <w:tr w:rsidR="00E338D5" w:rsidRPr="00392020" w14:paraId="21A8B5F9" w14:textId="77777777" w:rsidTr="00580562">
        <w:tc>
          <w:tcPr>
            <w:tcW w:w="1101" w:type="dxa"/>
            <w:vAlign w:val="center"/>
          </w:tcPr>
          <w:p w14:paraId="57CA8F0C" w14:textId="77777777" w:rsidR="00EB6A04" w:rsidRPr="00392020" w:rsidRDefault="00FE7F96" w:rsidP="00392020">
            <w:pPr>
              <w:spacing w:line="276" w:lineRule="auto"/>
              <w:jc w:val="center"/>
              <w:rPr>
                <w:rFonts w:asciiTheme="minorHAnsi" w:hAnsiTheme="minorHAnsi"/>
                <w:szCs w:val="22"/>
              </w:rPr>
            </w:pPr>
            <w:r w:rsidRPr="00392020">
              <w:rPr>
                <w:rFonts w:asciiTheme="minorHAnsi" w:hAnsiTheme="minorHAnsi"/>
                <w:szCs w:val="22"/>
              </w:rPr>
              <w:t>1.0</w:t>
            </w:r>
          </w:p>
        </w:tc>
        <w:tc>
          <w:tcPr>
            <w:tcW w:w="1136" w:type="dxa"/>
            <w:vAlign w:val="center"/>
          </w:tcPr>
          <w:p w14:paraId="10DEA0D8" w14:textId="77777777" w:rsidR="00EB6A04" w:rsidRPr="00392020" w:rsidRDefault="00EB6A04" w:rsidP="00392020">
            <w:pPr>
              <w:spacing w:line="276" w:lineRule="auto"/>
              <w:jc w:val="center"/>
              <w:rPr>
                <w:rFonts w:asciiTheme="minorHAnsi" w:hAnsiTheme="minorHAnsi"/>
                <w:szCs w:val="22"/>
              </w:rPr>
            </w:pPr>
          </w:p>
        </w:tc>
        <w:tc>
          <w:tcPr>
            <w:tcW w:w="1070" w:type="dxa"/>
            <w:vAlign w:val="center"/>
          </w:tcPr>
          <w:p w14:paraId="47CD3E02" w14:textId="77777777" w:rsidR="00EB6A04" w:rsidRPr="00392020" w:rsidRDefault="00FE7F96" w:rsidP="00392020">
            <w:pPr>
              <w:spacing w:line="276" w:lineRule="auto"/>
              <w:jc w:val="center"/>
              <w:rPr>
                <w:rFonts w:asciiTheme="minorHAnsi" w:hAnsiTheme="minorHAnsi"/>
                <w:szCs w:val="22"/>
              </w:rPr>
            </w:pPr>
            <w:r w:rsidRPr="00392020">
              <w:rPr>
                <w:rFonts w:asciiTheme="minorHAnsi" w:hAnsiTheme="minorHAnsi"/>
                <w:szCs w:val="22"/>
              </w:rPr>
              <w:t>X</w:t>
            </w:r>
          </w:p>
        </w:tc>
        <w:tc>
          <w:tcPr>
            <w:tcW w:w="4314" w:type="dxa"/>
            <w:vAlign w:val="center"/>
          </w:tcPr>
          <w:p w14:paraId="27D0ADC4" w14:textId="77777777" w:rsidR="00EB6A04" w:rsidRPr="00392020" w:rsidRDefault="00EB6A04" w:rsidP="00392020">
            <w:pPr>
              <w:spacing w:line="276" w:lineRule="auto"/>
              <w:rPr>
                <w:rFonts w:asciiTheme="minorHAnsi" w:hAnsiTheme="minorHAnsi"/>
                <w:szCs w:val="22"/>
              </w:rPr>
            </w:pPr>
          </w:p>
        </w:tc>
        <w:tc>
          <w:tcPr>
            <w:tcW w:w="2268" w:type="dxa"/>
            <w:vAlign w:val="center"/>
          </w:tcPr>
          <w:p w14:paraId="0BA70648" w14:textId="77777777" w:rsidR="00EB6A04" w:rsidRPr="00392020" w:rsidRDefault="00EB6A04" w:rsidP="00392020">
            <w:pPr>
              <w:spacing w:line="276" w:lineRule="auto"/>
              <w:rPr>
                <w:rFonts w:asciiTheme="minorHAnsi" w:hAnsiTheme="minorHAnsi"/>
                <w:szCs w:val="22"/>
              </w:rPr>
            </w:pPr>
          </w:p>
        </w:tc>
      </w:tr>
      <w:tr w:rsidR="00E338D5" w:rsidRPr="00392020" w14:paraId="79A5D429" w14:textId="77777777" w:rsidTr="00580562">
        <w:tc>
          <w:tcPr>
            <w:tcW w:w="1101" w:type="dxa"/>
            <w:vAlign w:val="center"/>
          </w:tcPr>
          <w:p w14:paraId="6059E5AD" w14:textId="77777777" w:rsidR="00EB6A04" w:rsidRPr="00392020" w:rsidRDefault="00B027C5" w:rsidP="00392020">
            <w:pPr>
              <w:spacing w:line="276" w:lineRule="auto"/>
              <w:jc w:val="center"/>
              <w:rPr>
                <w:rFonts w:asciiTheme="minorHAnsi" w:hAnsiTheme="minorHAnsi"/>
                <w:szCs w:val="22"/>
              </w:rPr>
            </w:pPr>
            <w:r w:rsidRPr="00392020">
              <w:rPr>
                <w:rFonts w:asciiTheme="minorHAnsi" w:hAnsiTheme="minorHAnsi"/>
                <w:szCs w:val="22"/>
              </w:rPr>
              <w:t>2.0</w:t>
            </w:r>
          </w:p>
        </w:tc>
        <w:tc>
          <w:tcPr>
            <w:tcW w:w="1136" w:type="dxa"/>
            <w:vAlign w:val="center"/>
          </w:tcPr>
          <w:p w14:paraId="73CCFDFA" w14:textId="77777777" w:rsidR="00EB6A04" w:rsidRPr="00392020" w:rsidRDefault="00A01E0B" w:rsidP="00392020">
            <w:pPr>
              <w:spacing w:line="276" w:lineRule="auto"/>
              <w:jc w:val="center"/>
              <w:rPr>
                <w:rFonts w:asciiTheme="minorHAnsi" w:hAnsiTheme="minorHAnsi"/>
                <w:szCs w:val="22"/>
              </w:rPr>
            </w:pPr>
            <w:r w:rsidRPr="00392020">
              <w:rPr>
                <w:rFonts w:asciiTheme="minorHAnsi" w:hAnsiTheme="minorHAnsi"/>
                <w:szCs w:val="22"/>
              </w:rPr>
              <w:t>X</w:t>
            </w:r>
          </w:p>
        </w:tc>
        <w:tc>
          <w:tcPr>
            <w:tcW w:w="1070" w:type="dxa"/>
            <w:vAlign w:val="center"/>
          </w:tcPr>
          <w:p w14:paraId="1A3861C0" w14:textId="77777777" w:rsidR="00EB6A04" w:rsidRPr="00392020" w:rsidRDefault="00EB6A04" w:rsidP="00392020">
            <w:pPr>
              <w:spacing w:line="276" w:lineRule="auto"/>
              <w:jc w:val="center"/>
              <w:rPr>
                <w:rFonts w:asciiTheme="minorHAnsi" w:hAnsiTheme="minorHAnsi"/>
                <w:szCs w:val="22"/>
              </w:rPr>
            </w:pPr>
          </w:p>
        </w:tc>
        <w:tc>
          <w:tcPr>
            <w:tcW w:w="4314" w:type="dxa"/>
            <w:vAlign w:val="center"/>
          </w:tcPr>
          <w:p w14:paraId="000AB508" w14:textId="77777777" w:rsidR="00EB6A04" w:rsidRPr="00392020" w:rsidRDefault="00EB6A04" w:rsidP="00392020">
            <w:pPr>
              <w:spacing w:line="276" w:lineRule="auto"/>
              <w:rPr>
                <w:rFonts w:asciiTheme="minorHAnsi" w:hAnsiTheme="minorHAnsi"/>
                <w:szCs w:val="22"/>
              </w:rPr>
            </w:pPr>
          </w:p>
        </w:tc>
        <w:tc>
          <w:tcPr>
            <w:tcW w:w="2268" w:type="dxa"/>
            <w:vAlign w:val="center"/>
          </w:tcPr>
          <w:p w14:paraId="35CFA2D0" w14:textId="77777777" w:rsidR="00EB6A04" w:rsidRPr="00392020" w:rsidRDefault="00EB6A04" w:rsidP="00392020">
            <w:pPr>
              <w:spacing w:line="276" w:lineRule="auto"/>
              <w:rPr>
                <w:rFonts w:asciiTheme="minorHAnsi" w:hAnsiTheme="minorHAnsi"/>
                <w:szCs w:val="22"/>
              </w:rPr>
            </w:pPr>
          </w:p>
        </w:tc>
      </w:tr>
      <w:tr w:rsidR="00E338D5" w:rsidRPr="00392020" w14:paraId="5ED931D8" w14:textId="77777777" w:rsidTr="00580562">
        <w:tc>
          <w:tcPr>
            <w:tcW w:w="1101" w:type="dxa"/>
            <w:vAlign w:val="center"/>
          </w:tcPr>
          <w:p w14:paraId="69C92520" w14:textId="77777777" w:rsidR="00EB6A04" w:rsidRPr="00392020" w:rsidRDefault="00EB6A04" w:rsidP="00392020">
            <w:pPr>
              <w:spacing w:line="276" w:lineRule="auto"/>
              <w:jc w:val="center"/>
              <w:rPr>
                <w:rFonts w:asciiTheme="minorHAnsi" w:hAnsiTheme="minorHAnsi"/>
                <w:szCs w:val="22"/>
              </w:rPr>
            </w:pPr>
          </w:p>
        </w:tc>
        <w:tc>
          <w:tcPr>
            <w:tcW w:w="1136" w:type="dxa"/>
            <w:vAlign w:val="center"/>
          </w:tcPr>
          <w:p w14:paraId="64A21CC2" w14:textId="77777777" w:rsidR="00EB6A04" w:rsidRPr="00392020" w:rsidRDefault="00EB6A04" w:rsidP="00392020">
            <w:pPr>
              <w:spacing w:line="276" w:lineRule="auto"/>
              <w:jc w:val="center"/>
              <w:rPr>
                <w:rFonts w:asciiTheme="minorHAnsi" w:hAnsiTheme="minorHAnsi"/>
                <w:szCs w:val="22"/>
              </w:rPr>
            </w:pPr>
          </w:p>
        </w:tc>
        <w:tc>
          <w:tcPr>
            <w:tcW w:w="1070" w:type="dxa"/>
            <w:vAlign w:val="center"/>
          </w:tcPr>
          <w:p w14:paraId="3A361A0A" w14:textId="77777777" w:rsidR="00EB6A04" w:rsidRPr="00392020" w:rsidRDefault="00EB6A04" w:rsidP="00392020">
            <w:pPr>
              <w:spacing w:line="276" w:lineRule="auto"/>
              <w:jc w:val="center"/>
              <w:rPr>
                <w:rFonts w:asciiTheme="minorHAnsi" w:hAnsiTheme="minorHAnsi"/>
                <w:szCs w:val="22"/>
              </w:rPr>
            </w:pPr>
          </w:p>
        </w:tc>
        <w:tc>
          <w:tcPr>
            <w:tcW w:w="4314" w:type="dxa"/>
            <w:vAlign w:val="center"/>
          </w:tcPr>
          <w:p w14:paraId="4891CA1F" w14:textId="77777777" w:rsidR="00EB6A04" w:rsidRPr="00392020" w:rsidRDefault="00EB6A04" w:rsidP="00392020">
            <w:pPr>
              <w:spacing w:line="276" w:lineRule="auto"/>
              <w:rPr>
                <w:rFonts w:asciiTheme="minorHAnsi" w:hAnsiTheme="minorHAnsi"/>
                <w:szCs w:val="22"/>
              </w:rPr>
            </w:pPr>
          </w:p>
        </w:tc>
        <w:tc>
          <w:tcPr>
            <w:tcW w:w="2268" w:type="dxa"/>
            <w:vAlign w:val="center"/>
          </w:tcPr>
          <w:p w14:paraId="1C03F4F6" w14:textId="77777777" w:rsidR="00EB6A04" w:rsidRPr="00392020" w:rsidRDefault="00EB6A04" w:rsidP="00392020">
            <w:pPr>
              <w:spacing w:line="276" w:lineRule="auto"/>
              <w:rPr>
                <w:rFonts w:asciiTheme="minorHAnsi" w:hAnsiTheme="minorHAnsi"/>
                <w:szCs w:val="22"/>
              </w:rPr>
            </w:pPr>
          </w:p>
        </w:tc>
      </w:tr>
      <w:tr w:rsidR="00E338D5" w:rsidRPr="00392020" w14:paraId="42F2AB29" w14:textId="77777777" w:rsidTr="00580562">
        <w:tc>
          <w:tcPr>
            <w:tcW w:w="1101" w:type="dxa"/>
            <w:vAlign w:val="center"/>
          </w:tcPr>
          <w:p w14:paraId="4D5A1950" w14:textId="77777777" w:rsidR="00EB6A04" w:rsidRPr="00392020" w:rsidRDefault="00EB6A04" w:rsidP="00392020">
            <w:pPr>
              <w:spacing w:line="276" w:lineRule="auto"/>
              <w:jc w:val="center"/>
              <w:rPr>
                <w:rFonts w:asciiTheme="minorHAnsi" w:hAnsiTheme="minorHAnsi"/>
                <w:szCs w:val="22"/>
              </w:rPr>
            </w:pPr>
          </w:p>
        </w:tc>
        <w:tc>
          <w:tcPr>
            <w:tcW w:w="1136" w:type="dxa"/>
            <w:vAlign w:val="center"/>
          </w:tcPr>
          <w:p w14:paraId="1489F6D8" w14:textId="77777777" w:rsidR="00EB6A04" w:rsidRPr="00392020" w:rsidRDefault="00EB6A04" w:rsidP="00392020">
            <w:pPr>
              <w:spacing w:line="276" w:lineRule="auto"/>
              <w:jc w:val="center"/>
              <w:rPr>
                <w:rFonts w:asciiTheme="minorHAnsi" w:hAnsiTheme="minorHAnsi"/>
                <w:szCs w:val="22"/>
              </w:rPr>
            </w:pPr>
          </w:p>
        </w:tc>
        <w:tc>
          <w:tcPr>
            <w:tcW w:w="1070" w:type="dxa"/>
            <w:vAlign w:val="center"/>
          </w:tcPr>
          <w:p w14:paraId="0BCF7BB6" w14:textId="77777777" w:rsidR="00EB6A04" w:rsidRPr="00392020" w:rsidRDefault="00EB6A04" w:rsidP="00392020">
            <w:pPr>
              <w:spacing w:line="276" w:lineRule="auto"/>
              <w:jc w:val="center"/>
              <w:rPr>
                <w:rFonts w:asciiTheme="minorHAnsi" w:hAnsiTheme="minorHAnsi"/>
                <w:szCs w:val="22"/>
              </w:rPr>
            </w:pPr>
          </w:p>
        </w:tc>
        <w:tc>
          <w:tcPr>
            <w:tcW w:w="4314" w:type="dxa"/>
            <w:vAlign w:val="center"/>
          </w:tcPr>
          <w:p w14:paraId="31C9B448" w14:textId="77777777" w:rsidR="00EB6A04" w:rsidRPr="00392020" w:rsidRDefault="00EB6A04" w:rsidP="00392020">
            <w:pPr>
              <w:spacing w:line="276" w:lineRule="auto"/>
              <w:rPr>
                <w:rFonts w:asciiTheme="minorHAnsi" w:hAnsiTheme="minorHAnsi"/>
                <w:szCs w:val="22"/>
              </w:rPr>
            </w:pPr>
          </w:p>
        </w:tc>
        <w:tc>
          <w:tcPr>
            <w:tcW w:w="2268" w:type="dxa"/>
            <w:vAlign w:val="center"/>
          </w:tcPr>
          <w:p w14:paraId="22160CB8" w14:textId="77777777" w:rsidR="00EB6A04" w:rsidRPr="00392020" w:rsidRDefault="00EB6A04" w:rsidP="00392020">
            <w:pPr>
              <w:spacing w:line="276" w:lineRule="auto"/>
              <w:rPr>
                <w:rFonts w:asciiTheme="minorHAnsi" w:hAnsiTheme="minorHAnsi"/>
                <w:szCs w:val="22"/>
              </w:rPr>
            </w:pPr>
          </w:p>
        </w:tc>
      </w:tr>
    </w:tbl>
    <w:p w14:paraId="729D2633" w14:textId="77777777" w:rsidR="00E338D5" w:rsidRPr="00392020" w:rsidRDefault="009B6727" w:rsidP="00392020">
      <w:pPr>
        <w:spacing w:line="276" w:lineRule="auto"/>
        <w:jc w:val="center"/>
        <w:rPr>
          <w:rFonts w:asciiTheme="minorHAnsi" w:hAnsiTheme="minorHAnsi"/>
          <w:b/>
          <w:i/>
        </w:rPr>
      </w:pPr>
      <w:r w:rsidRPr="00392020">
        <w:rPr>
          <w:rFonts w:asciiTheme="minorHAnsi" w:hAnsiTheme="minorHAnsi"/>
          <w:szCs w:val="22"/>
        </w:rPr>
        <w:br w:type="page"/>
      </w:r>
      <w:r w:rsidR="00E338D5" w:rsidRPr="00392020">
        <w:rPr>
          <w:rFonts w:asciiTheme="minorHAnsi" w:hAnsiTheme="minorHAnsi"/>
          <w:b/>
          <w:i/>
        </w:rPr>
        <w:lastRenderedPageBreak/>
        <w:t>Table of Contents</w:t>
      </w:r>
    </w:p>
    <w:p w14:paraId="11CF585C" w14:textId="77777777" w:rsidR="00EE52A9" w:rsidRDefault="00E338D5">
      <w:pPr>
        <w:pStyle w:val="TOC1"/>
        <w:tabs>
          <w:tab w:val="right" w:leader="dot" w:pos="9767"/>
        </w:tabs>
        <w:rPr>
          <w:rFonts w:asciiTheme="minorHAnsi" w:eastAsiaTheme="minorEastAsia" w:hAnsiTheme="minorHAnsi" w:cstheme="minorBidi"/>
          <w:noProof/>
          <w:szCs w:val="22"/>
          <w:lang w:eastAsia="en-CA"/>
        </w:rPr>
      </w:pPr>
      <w:r w:rsidRPr="00392020">
        <w:rPr>
          <w:rFonts w:asciiTheme="minorHAnsi" w:hAnsiTheme="minorHAnsi"/>
        </w:rPr>
        <w:fldChar w:fldCharType="begin"/>
      </w:r>
      <w:r w:rsidRPr="00392020">
        <w:rPr>
          <w:rFonts w:asciiTheme="minorHAnsi" w:hAnsiTheme="minorHAnsi"/>
        </w:rPr>
        <w:instrText xml:space="preserve"> TOC \o "1-3" \h \z \u </w:instrText>
      </w:r>
      <w:r w:rsidRPr="00392020">
        <w:rPr>
          <w:rFonts w:asciiTheme="minorHAnsi" w:hAnsiTheme="minorHAnsi"/>
        </w:rPr>
        <w:fldChar w:fldCharType="separate"/>
      </w:r>
      <w:hyperlink w:anchor="_Toc507416318" w:history="1">
        <w:r w:rsidR="00EE52A9" w:rsidRPr="00F55EEC">
          <w:rPr>
            <w:rStyle w:val="Hyperlink"/>
            <w:noProof/>
          </w:rPr>
          <w:t>Background</w:t>
        </w:r>
        <w:r w:rsidR="00EE52A9">
          <w:rPr>
            <w:noProof/>
            <w:webHidden/>
          </w:rPr>
          <w:tab/>
        </w:r>
        <w:r w:rsidR="00EE52A9">
          <w:rPr>
            <w:noProof/>
            <w:webHidden/>
          </w:rPr>
          <w:fldChar w:fldCharType="begin"/>
        </w:r>
        <w:r w:rsidR="00EE52A9">
          <w:rPr>
            <w:noProof/>
            <w:webHidden/>
          </w:rPr>
          <w:instrText xml:space="preserve"> PAGEREF _Toc507416318 \h </w:instrText>
        </w:r>
        <w:r w:rsidR="00EE52A9">
          <w:rPr>
            <w:noProof/>
            <w:webHidden/>
          </w:rPr>
        </w:r>
        <w:r w:rsidR="00EE52A9">
          <w:rPr>
            <w:noProof/>
            <w:webHidden/>
          </w:rPr>
          <w:fldChar w:fldCharType="separate"/>
        </w:r>
        <w:r w:rsidR="009B467C">
          <w:rPr>
            <w:noProof/>
            <w:webHidden/>
          </w:rPr>
          <w:t>3</w:t>
        </w:r>
        <w:r w:rsidR="00EE52A9">
          <w:rPr>
            <w:noProof/>
            <w:webHidden/>
          </w:rPr>
          <w:fldChar w:fldCharType="end"/>
        </w:r>
      </w:hyperlink>
    </w:p>
    <w:p w14:paraId="5A7D6F34"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19" w:history="1">
        <w:r w:rsidR="00EE52A9" w:rsidRPr="00F55EEC">
          <w:rPr>
            <w:rStyle w:val="Hyperlink"/>
            <w:noProof/>
          </w:rPr>
          <w:t>Credit Risk Philosophy</w:t>
        </w:r>
        <w:r w:rsidR="00EE52A9">
          <w:rPr>
            <w:noProof/>
            <w:webHidden/>
          </w:rPr>
          <w:tab/>
        </w:r>
        <w:r w:rsidR="00EE52A9">
          <w:rPr>
            <w:noProof/>
            <w:webHidden/>
          </w:rPr>
          <w:fldChar w:fldCharType="begin"/>
        </w:r>
        <w:r w:rsidR="00EE52A9">
          <w:rPr>
            <w:noProof/>
            <w:webHidden/>
          </w:rPr>
          <w:instrText xml:space="preserve"> PAGEREF _Toc507416319 \h </w:instrText>
        </w:r>
        <w:r w:rsidR="00EE52A9">
          <w:rPr>
            <w:noProof/>
            <w:webHidden/>
          </w:rPr>
        </w:r>
        <w:r w:rsidR="00EE52A9">
          <w:rPr>
            <w:noProof/>
            <w:webHidden/>
          </w:rPr>
          <w:fldChar w:fldCharType="separate"/>
        </w:r>
        <w:r w:rsidR="009B467C">
          <w:rPr>
            <w:noProof/>
            <w:webHidden/>
          </w:rPr>
          <w:t>3</w:t>
        </w:r>
        <w:r w:rsidR="00EE52A9">
          <w:rPr>
            <w:noProof/>
            <w:webHidden/>
          </w:rPr>
          <w:fldChar w:fldCharType="end"/>
        </w:r>
      </w:hyperlink>
    </w:p>
    <w:p w14:paraId="191FF70F"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20" w:history="1">
        <w:r w:rsidR="00EE52A9" w:rsidRPr="00F55EEC">
          <w:rPr>
            <w:rStyle w:val="Hyperlink"/>
            <w:noProof/>
          </w:rPr>
          <w:t>Regulatory Requirements</w:t>
        </w:r>
        <w:r w:rsidR="00EE52A9">
          <w:rPr>
            <w:noProof/>
            <w:webHidden/>
          </w:rPr>
          <w:tab/>
        </w:r>
        <w:r w:rsidR="00EE52A9">
          <w:rPr>
            <w:noProof/>
            <w:webHidden/>
          </w:rPr>
          <w:fldChar w:fldCharType="begin"/>
        </w:r>
        <w:r w:rsidR="00EE52A9">
          <w:rPr>
            <w:noProof/>
            <w:webHidden/>
          </w:rPr>
          <w:instrText xml:space="preserve"> PAGEREF _Toc507416320 \h </w:instrText>
        </w:r>
        <w:r w:rsidR="00EE52A9">
          <w:rPr>
            <w:noProof/>
            <w:webHidden/>
          </w:rPr>
        </w:r>
        <w:r w:rsidR="00EE52A9">
          <w:rPr>
            <w:noProof/>
            <w:webHidden/>
          </w:rPr>
          <w:fldChar w:fldCharType="separate"/>
        </w:r>
        <w:r w:rsidR="009B467C">
          <w:rPr>
            <w:noProof/>
            <w:webHidden/>
          </w:rPr>
          <w:t>3</w:t>
        </w:r>
        <w:r w:rsidR="00EE52A9">
          <w:rPr>
            <w:noProof/>
            <w:webHidden/>
          </w:rPr>
          <w:fldChar w:fldCharType="end"/>
        </w:r>
      </w:hyperlink>
    </w:p>
    <w:p w14:paraId="7A55B3C4"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21" w:history="1">
        <w:r w:rsidR="00EE52A9" w:rsidRPr="00F55EEC">
          <w:rPr>
            <w:rStyle w:val="Hyperlink"/>
            <w:noProof/>
          </w:rPr>
          <w:t>Industry Best Practice</w:t>
        </w:r>
        <w:r w:rsidR="00EE52A9">
          <w:rPr>
            <w:noProof/>
            <w:webHidden/>
          </w:rPr>
          <w:tab/>
        </w:r>
        <w:r w:rsidR="00EE52A9">
          <w:rPr>
            <w:noProof/>
            <w:webHidden/>
          </w:rPr>
          <w:fldChar w:fldCharType="begin"/>
        </w:r>
        <w:r w:rsidR="00EE52A9">
          <w:rPr>
            <w:noProof/>
            <w:webHidden/>
          </w:rPr>
          <w:instrText xml:space="preserve"> PAGEREF _Toc507416321 \h </w:instrText>
        </w:r>
        <w:r w:rsidR="00EE52A9">
          <w:rPr>
            <w:noProof/>
            <w:webHidden/>
          </w:rPr>
        </w:r>
        <w:r w:rsidR="00EE52A9">
          <w:rPr>
            <w:noProof/>
            <w:webHidden/>
          </w:rPr>
          <w:fldChar w:fldCharType="separate"/>
        </w:r>
        <w:r w:rsidR="009B467C">
          <w:rPr>
            <w:noProof/>
            <w:webHidden/>
          </w:rPr>
          <w:t>3</w:t>
        </w:r>
        <w:r w:rsidR="00EE52A9">
          <w:rPr>
            <w:noProof/>
            <w:webHidden/>
          </w:rPr>
          <w:fldChar w:fldCharType="end"/>
        </w:r>
      </w:hyperlink>
    </w:p>
    <w:p w14:paraId="44DE64AF"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22" w:history="1">
        <w:r w:rsidR="00EE52A9" w:rsidRPr="00F55EEC">
          <w:rPr>
            <w:rStyle w:val="Hyperlink"/>
            <w:noProof/>
          </w:rPr>
          <w:t>Credit Risk Appetite</w:t>
        </w:r>
        <w:r w:rsidR="00EE52A9">
          <w:rPr>
            <w:noProof/>
            <w:webHidden/>
          </w:rPr>
          <w:tab/>
        </w:r>
        <w:r w:rsidR="00EE52A9">
          <w:rPr>
            <w:noProof/>
            <w:webHidden/>
          </w:rPr>
          <w:fldChar w:fldCharType="begin"/>
        </w:r>
        <w:r w:rsidR="00EE52A9">
          <w:rPr>
            <w:noProof/>
            <w:webHidden/>
          </w:rPr>
          <w:instrText xml:space="preserve"> PAGEREF _Toc507416322 \h </w:instrText>
        </w:r>
        <w:r w:rsidR="00EE52A9">
          <w:rPr>
            <w:noProof/>
            <w:webHidden/>
          </w:rPr>
        </w:r>
        <w:r w:rsidR="00EE52A9">
          <w:rPr>
            <w:noProof/>
            <w:webHidden/>
          </w:rPr>
          <w:fldChar w:fldCharType="separate"/>
        </w:r>
        <w:r w:rsidR="009B467C">
          <w:rPr>
            <w:noProof/>
            <w:webHidden/>
          </w:rPr>
          <w:t>4</w:t>
        </w:r>
        <w:r w:rsidR="00EE52A9">
          <w:rPr>
            <w:noProof/>
            <w:webHidden/>
          </w:rPr>
          <w:fldChar w:fldCharType="end"/>
        </w:r>
      </w:hyperlink>
    </w:p>
    <w:p w14:paraId="22C9586E"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23" w:history="1">
        <w:r w:rsidR="00EE52A9" w:rsidRPr="00F55EEC">
          <w:rPr>
            <w:rStyle w:val="Hyperlink"/>
            <w:noProof/>
          </w:rPr>
          <w:t>Credit Authorization</w:t>
        </w:r>
        <w:r w:rsidR="00EE52A9">
          <w:rPr>
            <w:noProof/>
            <w:webHidden/>
          </w:rPr>
          <w:tab/>
        </w:r>
        <w:r w:rsidR="00EE52A9">
          <w:rPr>
            <w:noProof/>
            <w:webHidden/>
          </w:rPr>
          <w:fldChar w:fldCharType="begin"/>
        </w:r>
        <w:r w:rsidR="00EE52A9">
          <w:rPr>
            <w:noProof/>
            <w:webHidden/>
          </w:rPr>
          <w:instrText xml:space="preserve"> PAGEREF _Toc507416323 \h </w:instrText>
        </w:r>
        <w:r w:rsidR="00EE52A9">
          <w:rPr>
            <w:noProof/>
            <w:webHidden/>
          </w:rPr>
        </w:r>
        <w:r w:rsidR="00EE52A9">
          <w:rPr>
            <w:noProof/>
            <w:webHidden/>
          </w:rPr>
          <w:fldChar w:fldCharType="separate"/>
        </w:r>
        <w:r w:rsidR="009B467C">
          <w:rPr>
            <w:noProof/>
            <w:webHidden/>
          </w:rPr>
          <w:t>4</w:t>
        </w:r>
        <w:r w:rsidR="00EE52A9">
          <w:rPr>
            <w:noProof/>
            <w:webHidden/>
          </w:rPr>
          <w:fldChar w:fldCharType="end"/>
        </w:r>
      </w:hyperlink>
    </w:p>
    <w:p w14:paraId="2152390C"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24" w:history="1">
        <w:r w:rsidR="00EE52A9" w:rsidRPr="00F55EEC">
          <w:rPr>
            <w:rStyle w:val="Hyperlink"/>
            <w:noProof/>
          </w:rPr>
          <w:t>Risk Ratings</w:t>
        </w:r>
        <w:r w:rsidR="00EE52A9">
          <w:rPr>
            <w:noProof/>
            <w:webHidden/>
          </w:rPr>
          <w:tab/>
        </w:r>
        <w:r w:rsidR="00EE52A9">
          <w:rPr>
            <w:noProof/>
            <w:webHidden/>
          </w:rPr>
          <w:fldChar w:fldCharType="begin"/>
        </w:r>
        <w:r w:rsidR="00EE52A9">
          <w:rPr>
            <w:noProof/>
            <w:webHidden/>
          </w:rPr>
          <w:instrText xml:space="preserve"> PAGEREF _Toc507416324 \h </w:instrText>
        </w:r>
        <w:r w:rsidR="00EE52A9">
          <w:rPr>
            <w:noProof/>
            <w:webHidden/>
          </w:rPr>
        </w:r>
        <w:r w:rsidR="00EE52A9">
          <w:rPr>
            <w:noProof/>
            <w:webHidden/>
          </w:rPr>
          <w:fldChar w:fldCharType="separate"/>
        </w:r>
        <w:r w:rsidR="009B467C">
          <w:rPr>
            <w:noProof/>
            <w:webHidden/>
          </w:rPr>
          <w:t>4</w:t>
        </w:r>
        <w:r w:rsidR="00EE52A9">
          <w:rPr>
            <w:noProof/>
            <w:webHidden/>
          </w:rPr>
          <w:fldChar w:fldCharType="end"/>
        </w:r>
      </w:hyperlink>
    </w:p>
    <w:p w14:paraId="6A6346F7"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25" w:history="1">
        <w:r w:rsidR="00EE52A9" w:rsidRPr="00F55EEC">
          <w:rPr>
            <w:rStyle w:val="Hyperlink"/>
            <w:rFonts w:eastAsia="Calibri"/>
            <w:noProof/>
          </w:rPr>
          <w:t>Retail</w:t>
        </w:r>
        <w:r w:rsidR="00EE52A9">
          <w:rPr>
            <w:noProof/>
            <w:webHidden/>
          </w:rPr>
          <w:tab/>
        </w:r>
        <w:r w:rsidR="00EE52A9">
          <w:rPr>
            <w:noProof/>
            <w:webHidden/>
          </w:rPr>
          <w:fldChar w:fldCharType="begin"/>
        </w:r>
        <w:r w:rsidR="00EE52A9">
          <w:rPr>
            <w:noProof/>
            <w:webHidden/>
          </w:rPr>
          <w:instrText xml:space="preserve"> PAGEREF _Toc507416325 \h </w:instrText>
        </w:r>
        <w:r w:rsidR="00EE52A9">
          <w:rPr>
            <w:noProof/>
            <w:webHidden/>
          </w:rPr>
        </w:r>
        <w:r w:rsidR="00EE52A9">
          <w:rPr>
            <w:noProof/>
            <w:webHidden/>
          </w:rPr>
          <w:fldChar w:fldCharType="separate"/>
        </w:r>
        <w:r w:rsidR="009B467C">
          <w:rPr>
            <w:noProof/>
            <w:webHidden/>
          </w:rPr>
          <w:t>4</w:t>
        </w:r>
        <w:r w:rsidR="00EE52A9">
          <w:rPr>
            <w:noProof/>
            <w:webHidden/>
          </w:rPr>
          <w:fldChar w:fldCharType="end"/>
        </w:r>
      </w:hyperlink>
    </w:p>
    <w:p w14:paraId="7DA6681D"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26" w:history="1">
        <w:r w:rsidR="00EE52A9" w:rsidRPr="00F55EEC">
          <w:rPr>
            <w:rStyle w:val="Hyperlink"/>
            <w:rFonts w:eastAsia="Calibri"/>
            <w:noProof/>
          </w:rPr>
          <w:t>Commercial</w:t>
        </w:r>
        <w:r w:rsidR="00EE52A9">
          <w:rPr>
            <w:noProof/>
            <w:webHidden/>
          </w:rPr>
          <w:tab/>
        </w:r>
        <w:r w:rsidR="00EE52A9">
          <w:rPr>
            <w:noProof/>
            <w:webHidden/>
          </w:rPr>
          <w:fldChar w:fldCharType="begin"/>
        </w:r>
        <w:r w:rsidR="00EE52A9">
          <w:rPr>
            <w:noProof/>
            <w:webHidden/>
          </w:rPr>
          <w:instrText xml:space="preserve"> PAGEREF _Toc507416326 \h </w:instrText>
        </w:r>
        <w:r w:rsidR="00EE52A9">
          <w:rPr>
            <w:noProof/>
            <w:webHidden/>
          </w:rPr>
        </w:r>
        <w:r w:rsidR="00EE52A9">
          <w:rPr>
            <w:noProof/>
            <w:webHidden/>
          </w:rPr>
          <w:fldChar w:fldCharType="separate"/>
        </w:r>
        <w:r w:rsidR="009B467C">
          <w:rPr>
            <w:noProof/>
            <w:webHidden/>
          </w:rPr>
          <w:t>5</w:t>
        </w:r>
        <w:r w:rsidR="00EE52A9">
          <w:rPr>
            <w:noProof/>
            <w:webHidden/>
          </w:rPr>
          <w:fldChar w:fldCharType="end"/>
        </w:r>
      </w:hyperlink>
    </w:p>
    <w:p w14:paraId="73F5206F"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27" w:history="1">
        <w:r w:rsidR="00EE52A9" w:rsidRPr="00F55EEC">
          <w:rPr>
            <w:rStyle w:val="Hyperlink"/>
            <w:noProof/>
          </w:rPr>
          <w:t>Credit Risk Assessment and Adjudication</w:t>
        </w:r>
        <w:r w:rsidR="00EE52A9">
          <w:rPr>
            <w:noProof/>
            <w:webHidden/>
          </w:rPr>
          <w:tab/>
        </w:r>
        <w:r w:rsidR="00EE52A9">
          <w:rPr>
            <w:noProof/>
            <w:webHidden/>
          </w:rPr>
          <w:fldChar w:fldCharType="begin"/>
        </w:r>
        <w:r w:rsidR="00EE52A9">
          <w:rPr>
            <w:noProof/>
            <w:webHidden/>
          </w:rPr>
          <w:instrText xml:space="preserve"> PAGEREF _Toc507416327 \h </w:instrText>
        </w:r>
        <w:r w:rsidR="00EE52A9">
          <w:rPr>
            <w:noProof/>
            <w:webHidden/>
          </w:rPr>
        </w:r>
        <w:r w:rsidR="00EE52A9">
          <w:rPr>
            <w:noProof/>
            <w:webHidden/>
          </w:rPr>
          <w:fldChar w:fldCharType="separate"/>
        </w:r>
        <w:r w:rsidR="009B467C">
          <w:rPr>
            <w:noProof/>
            <w:webHidden/>
          </w:rPr>
          <w:t>5</w:t>
        </w:r>
        <w:r w:rsidR="00EE52A9">
          <w:rPr>
            <w:noProof/>
            <w:webHidden/>
          </w:rPr>
          <w:fldChar w:fldCharType="end"/>
        </w:r>
      </w:hyperlink>
    </w:p>
    <w:p w14:paraId="1DEA44ED"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28" w:history="1">
        <w:r w:rsidR="00EE52A9" w:rsidRPr="00F55EEC">
          <w:rPr>
            <w:rStyle w:val="Hyperlink"/>
            <w:noProof/>
          </w:rPr>
          <w:t>Special Borrowing Classes</w:t>
        </w:r>
        <w:r w:rsidR="00EE52A9">
          <w:rPr>
            <w:noProof/>
            <w:webHidden/>
          </w:rPr>
          <w:tab/>
        </w:r>
        <w:r w:rsidR="00EE52A9">
          <w:rPr>
            <w:noProof/>
            <w:webHidden/>
          </w:rPr>
          <w:fldChar w:fldCharType="begin"/>
        </w:r>
        <w:r w:rsidR="00EE52A9">
          <w:rPr>
            <w:noProof/>
            <w:webHidden/>
          </w:rPr>
          <w:instrText xml:space="preserve"> PAGEREF _Toc507416328 \h </w:instrText>
        </w:r>
        <w:r w:rsidR="00EE52A9">
          <w:rPr>
            <w:noProof/>
            <w:webHidden/>
          </w:rPr>
        </w:r>
        <w:r w:rsidR="00EE52A9">
          <w:rPr>
            <w:noProof/>
            <w:webHidden/>
          </w:rPr>
          <w:fldChar w:fldCharType="separate"/>
        </w:r>
        <w:r w:rsidR="009B467C">
          <w:rPr>
            <w:noProof/>
            <w:webHidden/>
          </w:rPr>
          <w:t>6</w:t>
        </w:r>
        <w:r w:rsidR="00EE52A9">
          <w:rPr>
            <w:noProof/>
            <w:webHidden/>
          </w:rPr>
          <w:fldChar w:fldCharType="end"/>
        </w:r>
      </w:hyperlink>
    </w:p>
    <w:p w14:paraId="3F6302A7"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29" w:history="1">
        <w:r w:rsidR="00EE52A9" w:rsidRPr="00F55EEC">
          <w:rPr>
            <w:rStyle w:val="Hyperlink"/>
            <w:noProof/>
          </w:rPr>
          <w:t>Direct, Connected &amp; Related Borrowings</w:t>
        </w:r>
        <w:r w:rsidR="00EE52A9">
          <w:rPr>
            <w:noProof/>
            <w:webHidden/>
          </w:rPr>
          <w:tab/>
        </w:r>
        <w:r w:rsidR="00EE52A9">
          <w:rPr>
            <w:noProof/>
            <w:webHidden/>
          </w:rPr>
          <w:fldChar w:fldCharType="begin"/>
        </w:r>
        <w:r w:rsidR="00EE52A9">
          <w:rPr>
            <w:noProof/>
            <w:webHidden/>
          </w:rPr>
          <w:instrText xml:space="preserve"> PAGEREF _Toc507416329 \h </w:instrText>
        </w:r>
        <w:r w:rsidR="00EE52A9">
          <w:rPr>
            <w:noProof/>
            <w:webHidden/>
          </w:rPr>
        </w:r>
        <w:r w:rsidR="00EE52A9">
          <w:rPr>
            <w:noProof/>
            <w:webHidden/>
          </w:rPr>
          <w:fldChar w:fldCharType="separate"/>
        </w:r>
        <w:r w:rsidR="009B467C">
          <w:rPr>
            <w:noProof/>
            <w:webHidden/>
          </w:rPr>
          <w:t>6</w:t>
        </w:r>
        <w:r w:rsidR="00EE52A9">
          <w:rPr>
            <w:noProof/>
            <w:webHidden/>
          </w:rPr>
          <w:fldChar w:fldCharType="end"/>
        </w:r>
      </w:hyperlink>
    </w:p>
    <w:p w14:paraId="5469903E"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30" w:history="1">
        <w:r w:rsidR="00EE52A9" w:rsidRPr="00F55EEC">
          <w:rPr>
            <w:rStyle w:val="Hyperlink"/>
            <w:noProof/>
          </w:rPr>
          <w:t>Directors &amp; Related Parties</w:t>
        </w:r>
        <w:r w:rsidR="00EE52A9">
          <w:rPr>
            <w:noProof/>
            <w:webHidden/>
          </w:rPr>
          <w:tab/>
        </w:r>
        <w:r w:rsidR="00EE52A9">
          <w:rPr>
            <w:noProof/>
            <w:webHidden/>
          </w:rPr>
          <w:fldChar w:fldCharType="begin"/>
        </w:r>
        <w:r w:rsidR="00EE52A9">
          <w:rPr>
            <w:noProof/>
            <w:webHidden/>
          </w:rPr>
          <w:instrText xml:space="preserve"> PAGEREF _Toc507416330 \h </w:instrText>
        </w:r>
        <w:r w:rsidR="00EE52A9">
          <w:rPr>
            <w:noProof/>
            <w:webHidden/>
          </w:rPr>
        </w:r>
        <w:r w:rsidR="00EE52A9">
          <w:rPr>
            <w:noProof/>
            <w:webHidden/>
          </w:rPr>
          <w:fldChar w:fldCharType="separate"/>
        </w:r>
        <w:r w:rsidR="009B467C">
          <w:rPr>
            <w:noProof/>
            <w:webHidden/>
          </w:rPr>
          <w:t>6</w:t>
        </w:r>
        <w:r w:rsidR="00EE52A9">
          <w:rPr>
            <w:noProof/>
            <w:webHidden/>
          </w:rPr>
          <w:fldChar w:fldCharType="end"/>
        </w:r>
      </w:hyperlink>
    </w:p>
    <w:p w14:paraId="70CF709D"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31" w:history="1">
        <w:r w:rsidR="00EE52A9" w:rsidRPr="00F55EEC">
          <w:rPr>
            <w:rStyle w:val="Hyperlink"/>
            <w:noProof/>
          </w:rPr>
          <w:t>Staff</w:t>
        </w:r>
        <w:r w:rsidR="00EE52A9">
          <w:rPr>
            <w:noProof/>
            <w:webHidden/>
          </w:rPr>
          <w:tab/>
        </w:r>
        <w:r w:rsidR="00EE52A9">
          <w:rPr>
            <w:noProof/>
            <w:webHidden/>
          </w:rPr>
          <w:fldChar w:fldCharType="begin"/>
        </w:r>
        <w:r w:rsidR="00EE52A9">
          <w:rPr>
            <w:noProof/>
            <w:webHidden/>
          </w:rPr>
          <w:instrText xml:space="preserve"> PAGEREF _Toc507416331 \h </w:instrText>
        </w:r>
        <w:r w:rsidR="00EE52A9">
          <w:rPr>
            <w:noProof/>
            <w:webHidden/>
          </w:rPr>
        </w:r>
        <w:r w:rsidR="00EE52A9">
          <w:rPr>
            <w:noProof/>
            <w:webHidden/>
          </w:rPr>
          <w:fldChar w:fldCharType="separate"/>
        </w:r>
        <w:r w:rsidR="009B467C">
          <w:rPr>
            <w:noProof/>
            <w:webHidden/>
          </w:rPr>
          <w:t>6</w:t>
        </w:r>
        <w:r w:rsidR="00EE52A9">
          <w:rPr>
            <w:noProof/>
            <w:webHidden/>
          </w:rPr>
          <w:fldChar w:fldCharType="end"/>
        </w:r>
      </w:hyperlink>
    </w:p>
    <w:p w14:paraId="61202BEC"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32" w:history="1">
        <w:r w:rsidR="00EE52A9" w:rsidRPr="00F55EEC">
          <w:rPr>
            <w:rStyle w:val="Hyperlink"/>
            <w:noProof/>
          </w:rPr>
          <w:t>Market Service Area Exposure</w:t>
        </w:r>
        <w:r w:rsidR="00EE52A9">
          <w:rPr>
            <w:noProof/>
            <w:webHidden/>
          </w:rPr>
          <w:tab/>
        </w:r>
        <w:r w:rsidR="00EE52A9">
          <w:rPr>
            <w:noProof/>
            <w:webHidden/>
          </w:rPr>
          <w:fldChar w:fldCharType="begin"/>
        </w:r>
        <w:r w:rsidR="00EE52A9">
          <w:rPr>
            <w:noProof/>
            <w:webHidden/>
          </w:rPr>
          <w:instrText xml:space="preserve"> PAGEREF _Toc507416332 \h </w:instrText>
        </w:r>
        <w:r w:rsidR="00EE52A9">
          <w:rPr>
            <w:noProof/>
            <w:webHidden/>
          </w:rPr>
        </w:r>
        <w:r w:rsidR="00EE52A9">
          <w:rPr>
            <w:noProof/>
            <w:webHidden/>
          </w:rPr>
          <w:fldChar w:fldCharType="separate"/>
        </w:r>
        <w:r w:rsidR="009B467C">
          <w:rPr>
            <w:noProof/>
            <w:webHidden/>
          </w:rPr>
          <w:t>6</w:t>
        </w:r>
        <w:r w:rsidR="00EE52A9">
          <w:rPr>
            <w:noProof/>
            <w:webHidden/>
          </w:rPr>
          <w:fldChar w:fldCharType="end"/>
        </w:r>
      </w:hyperlink>
    </w:p>
    <w:p w14:paraId="2A41E45D"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33" w:history="1">
        <w:r w:rsidR="00EE52A9" w:rsidRPr="00F55EEC">
          <w:rPr>
            <w:rStyle w:val="Hyperlink"/>
            <w:noProof/>
          </w:rPr>
          <w:t>Syndication Lending</w:t>
        </w:r>
        <w:r w:rsidR="00EE52A9">
          <w:rPr>
            <w:noProof/>
            <w:webHidden/>
          </w:rPr>
          <w:tab/>
        </w:r>
        <w:r w:rsidR="00EE52A9">
          <w:rPr>
            <w:noProof/>
            <w:webHidden/>
          </w:rPr>
          <w:fldChar w:fldCharType="begin"/>
        </w:r>
        <w:r w:rsidR="00EE52A9">
          <w:rPr>
            <w:noProof/>
            <w:webHidden/>
          </w:rPr>
          <w:instrText xml:space="preserve"> PAGEREF _Toc507416333 \h </w:instrText>
        </w:r>
        <w:r w:rsidR="00EE52A9">
          <w:rPr>
            <w:noProof/>
            <w:webHidden/>
          </w:rPr>
        </w:r>
        <w:r w:rsidR="00EE52A9">
          <w:rPr>
            <w:noProof/>
            <w:webHidden/>
          </w:rPr>
          <w:fldChar w:fldCharType="separate"/>
        </w:r>
        <w:r w:rsidR="009B467C">
          <w:rPr>
            <w:noProof/>
            <w:webHidden/>
          </w:rPr>
          <w:t>7</w:t>
        </w:r>
        <w:r w:rsidR="00EE52A9">
          <w:rPr>
            <w:noProof/>
            <w:webHidden/>
          </w:rPr>
          <w:fldChar w:fldCharType="end"/>
        </w:r>
      </w:hyperlink>
    </w:p>
    <w:p w14:paraId="3CE27F47"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34" w:history="1">
        <w:r w:rsidR="00EE52A9" w:rsidRPr="00F55EEC">
          <w:rPr>
            <w:rStyle w:val="Hyperlink"/>
            <w:noProof/>
          </w:rPr>
          <w:t>Non-Member loan Exposure:</w:t>
        </w:r>
        <w:r w:rsidR="00EE52A9">
          <w:rPr>
            <w:noProof/>
            <w:webHidden/>
          </w:rPr>
          <w:tab/>
        </w:r>
        <w:r w:rsidR="00EE52A9">
          <w:rPr>
            <w:noProof/>
            <w:webHidden/>
          </w:rPr>
          <w:fldChar w:fldCharType="begin"/>
        </w:r>
        <w:r w:rsidR="00EE52A9">
          <w:rPr>
            <w:noProof/>
            <w:webHidden/>
          </w:rPr>
          <w:instrText xml:space="preserve"> PAGEREF _Toc507416334 \h </w:instrText>
        </w:r>
        <w:r w:rsidR="00EE52A9">
          <w:rPr>
            <w:noProof/>
            <w:webHidden/>
          </w:rPr>
        </w:r>
        <w:r w:rsidR="00EE52A9">
          <w:rPr>
            <w:noProof/>
            <w:webHidden/>
          </w:rPr>
          <w:fldChar w:fldCharType="separate"/>
        </w:r>
        <w:r w:rsidR="009B467C">
          <w:rPr>
            <w:noProof/>
            <w:webHidden/>
          </w:rPr>
          <w:t>7</w:t>
        </w:r>
        <w:r w:rsidR="00EE52A9">
          <w:rPr>
            <w:noProof/>
            <w:webHidden/>
          </w:rPr>
          <w:fldChar w:fldCharType="end"/>
        </w:r>
      </w:hyperlink>
    </w:p>
    <w:p w14:paraId="5839A92C"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35" w:history="1">
        <w:r w:rsidR="00EE52A9" w:rsidRPr="00F55EEC">
          <w:rPr>
            <w:rStyle w:val="Hyperlink"/>
            <w:noProof/>
          </w:rPr>
          <w:t>Real Estate Lending</w:t>
        </w:r>
        <w:r w:rsidR="00EE52A9">
          <w:rPr>
            <w:noProof/>
            <w:webHidden/>
          </w:rPr>
          <w:tab/>
        </w:r>
        <w:r w:rsidR="00EE52A9">
          <w:rPr>
            <w:noProof/>
            <w:webHidden/>
          </w:rPr>
          <w:fldChar w:fldCharType="begin"/>
        </w:r>
        <w:r w:rsidR="00EE52A9">
          <w:rPr>
            <w:noProof/>
            <w:webHidden/>
          </w:rPr>
          <w:instrText xml:space="preserve"> PAGEREF _Toc507416335 \h </w:instrText>
        </w:r>
        <w:r w:rsidR="00EE52A9">
          <w:rPr>
            <w:noProof/>
            <w:webHidden/>
          </w:rPr>
        </w:r>
        <w:r w:rsidR="00EE52A9">
          <w:rPr>
            <w:noProof/>
            <w:webHidden/>
          </w:rPr>
          <w:fldChar w:fldCharType="separate"/>
        </w:r>
        <w:r w:rsidR="009B467C">
          <w:rPr>
            <w:noProof/>
            <w:webHidden/>
          </w:rPr>
          <w:t>7</w:t>
        </w:r>
        <w:r w:rsidR="00EE52A9">
          <w:rPr>
            <w:noProof/>
            <w:webHidden/>
          </w:rPr>
          <w:fldChar w:fldCharType="end"/>
        </w:r>
      </w:hyperlink>
    </w:p>
    <w:p w14:paraId="371BE9C8"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36" w:history="1">
        <w:r w:rsidR="00EE52A9" w:rsidRPr="00F55EEC">
          <w:rPr>
            <w:rStyle w:val="Hyperlink"/>
            <w:noProof/>
          </w:rPr>
          <w:t>Retail</w:t>
        </w:r>
        <w:r w:rsidR="00EE52A9">
          <w:rPr>
            <w:noProof/>
            <w:webHidden/>
          </w:rPr>
          <w:tab/>
        </w:r>
        <w:r w:rsidR="00EE52A9">
          <w:rPr>
            <w:noProof/>
            <w:webHidden/>
          </w:rPr>
          <w:fldChar w:fldCharType="begin"/>
        </w:r>
        <w:r w:rsidR="00EE52A9">
          <w:rPr>
            <w:noProof/>
            <w:webHidden/>
          </w:rPr>
          <w:instrText xml:space="preserve"> PAGEREF _Toc507416336 \h </w:instrText>
        </w:r>
        <w:r w:rsidR="00EE52A9">
          <w:rPr>
            <w:noProof/>
            <w:webHidden/>
          </w:rPr>
        </w:r>
        <w:r w:rsidR="00EE52A9">
          <w:rPr>
            <w:noProof/>
            <w:webHidden/>
          </w:rPr>
          <w:fldChar w:fldCharType="separate"/>
        </w:r>
        <w:r w:rsidR="009B467C">
          <w:rPr>
            <w:noProof/>
            <w:webHidden/>
          </w:rPr>
          <w:t>7</w:t>
        </w:r>
        <w:r w:rsidR="00EE52A9">
          <w:rPr>
            <w:noProof/>
            <w:webHidden/>
          </w:rPr>
          <w:fldChar w:fldCharType="end"/>
        </w:r>
      </w:hyperlink>
    </w:p>
    <w:p w14:paraId="44E46D9B"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37" w:history="1">
        <w:r w:rsidR="00EE52A9" w:rsidRPr="00F55EEC">
          <w:rPr>
            <w:rStyle w:val="Hyperlink"/>
            <w:noProof/>
          </w:rPr>
          <w:t>Commercial</w:t>
        </w:r>
        <w:r w:rsidR="00EE52A9">
          <w:rPr>
            <w:noProof/>
            <w:webHidden/>
          </w:rPr>
          <w:tab/>
        </w:r>
        <w:r w:rsidR="00EE52A9">
          <w:rPr>
            <w:noProof/>
            <w:webHidden/>
          </w:rPr>
          <w:fldChar w:fldCharType="begin"/>
        </w:r>
        <w:r w:rsidR="00EE52A9">
          <w:rPr>
            <w:noProof/>
            <w:webHidden/>
          </w:rPr>
          <w:instrText xml:space="preserve"> PAGEREF _Toc507416337 \h </w:instrText>
        </w:r>
        <w:r w:rsidR="00EE52A9">
          <w:rPr>
            <w:noProof/>
            <w:webHidden/>
          </w:rPr>
        </w:r>
        <w:r w:rsidR="00EE52A9">
          <w:rPr>
            <w:noProof/>
            <w:webHidden/>
          </w:rPr>
          <w:fldChar w:fldCharType="separate"/>
        </w:r>
        <w:r w:rsidR="009B467C">
          <w:rPr>
            <w:noProof/>
            <w:webHidden/>
          </w:rPr>
          <w:t>9</w:t>
        </w:r>
        <w:r w:rsidR="00EE52A9">
          <w:rPr>
            <w:noProof/>
            <w:webHidden/>
          </w:rPr>
          <w:fldChar w:fldCharType="end"/>
        </w:r>
      </w:hyperlink>
    </w:p>
    <w:p w14:paraId="0A4DA5E2"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38" w:history="1">
        <w:r w:rsidR="00EE52A9" w:rsidRPr="00F55EEC">
          <w:rPr>
            <w:rStyle w:val="Hyperlink"/>
            <w:noProof/>
          </w:rPr>
          <w:t>Total Commercial Real Estate</w:t>
        </w:r>
        <w:r w:rsidR="00EE52A9">
          <w:rPr>
            <w:noProof/>
            <w:webHidden/>
          </w:rPr>
          <w:tab/>
        </w:r>
        <w:r w:rsidR="00EE52A9">
          <w:rPr>
            <w:noProof/>
            <w:webHidden/>
          </w:rPr>
          <w:fldChar w:fldCharType="begin"/>
        </w:r>
        <w:r w:rsidR="00EE52A9">
          <w:rPr>
            <w:noProof/>
            <w:webHidden/>
          </w:rPr>
          <w:instrText xml:space="preserve"> PAGEREF _Toc507416338 \h </w:instrText>
        </w:r>
        <w:r w:rsidR="00EE52A9">
          <w:rPr>
            <w:noProof/>
            <w:webHidden/>
          </w:rPr>
        </w:r>
        <w:r w:rsidR="00EE52A9">
          <w:rPr>
            <w:noProof/>
            <w:webHidden/>
          </w:rPr>
          <w:fldChar w:fldCharType="separate"/>
        </w:r>
        <w:r w:rsidR="009B467C">
          <w:rPr>
            <w:noProof/>
            <w:webHidden/>
          </w:rPr>
          <w:t>9</w:t>
        </w:r>
        <w:r w:rsidR="00EE52A9">
          <w:rPr>
            <w:noProof/>
            <w:webHidden/>
          </w:rPr>
          <w:fldChar w:fldCharType="end"/>
        </w:r>
      </w:hyperlink>
    </w:p>
    <w:p w14:paraId="5FE18905"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39" w:history="1">
        <w:r w:rsidR="00EE52A9" w:rsidRPr="00F55EEC">
          <w:rPr>
            <w:rStyle w:val="Hyperlink"/>
            <w:noProof/>
          </w:rPr>
          <w:t>Appraisals</w:t>
        </w:r>
        <w:r w:rsidR="00EE52A9">
          <w:rPr>
            <w:noProof/>
            <w:webHidden/>
          </w:rPr>
          <w:tab/>
        </w:r>
        <w:r w:rsidR="00EE52A9">
          <w:rPr>
            <w:noProof/>
            <w:webHidden/>
          </w:rPr>
          <w:fldChar w:fldCharType="begin"/>
        </w:r>
        <w:r w:rsidR="00EE52A9">
          <w:rPr>
            <w:noProof/>
            <w:webHidden/>
          </w:rPr>
          <w:instrText xml:space="preserve"> PAGEREF _Toc507416339 \h </w:instrText>
        </w:r>
        <w:r w:rsidR="00EE52A9">
          <w:rPr>
            <w:noProof/>
            <w:webHidden/>
          </w:rPr>
        </w:r>
        <w:r w:rsidR="00EE52A9">
          <w:rPr>
            <w:noProof/>
            <w:webHidden/>
          </w:rPr>
          <w:fldChar w:fldCharType="separate"/>
        </w:r>
        <w:r w:rsidR="009B467C">
          <w:rPr>
            <w:noProof/>
            <w:webHidden/>
          </w:rPr>
          <w:t>9</w:t>
        </w:r>
        <w:r w:rsidR="00EE52A9">
          <w:rPr>
            <w:noProof/>
            <w:webHidden/>
          </w:rPr>
          <w:fldChar w:fldCharType="end"/>
        </w:r>
      </w:hyperlink>
    </w:p>
    <w:p w14:paraId="6A526E50"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40" w:history="1">
        <w:r w:rsidR="00EE52A9" w:rsidRPr="00F55EEC">
          <w:rPr>
            <w:rStyle w:val="Hyperlink"/>
            <w:noProof/>
          </w:rPr>
          <w:t>Environmental</w:t>
        </w:r>
        <w:r w:rsidR="00EE52A9">
          <w:rPr>
            <w:noProof/>
            <w:webHidden/>
          </w:rPr>
          <w:tab/>
        </w:r>
        <w:r w:rsidR="00EE52A9">
          <w:rPr>
            <w:noProof/>
            <w:webHidden/>
          </w:rPr>
          <w:fldChar w:fldCharType="begin"/>
        </w:r>
        <w:r w:rsidR="00EE52A9">
          <w:rPr>
            <w:noProof/>
            <w:webHidden/>
          </w:rPr>
          <w:instrText xml:space="preserve"> PAGEREF _Toc507416340 \h </w:instrText>
        </w:r>
        <w:r w:rsidR="00EE52A9">
          <w:rPr>
            <w:noProof/>
            <w:webHidden/>
          </w:rPr>
        </w:r>
        <w:r w:rsidR="00EE52A9">
          <w:rPr>
            <w:noProof/>
            <w:webHidden/>
          </w:rPr>
          <w:fldChar w:fldCharType="separate"/>
        </w:r>
        <w:r w:rsidR="009B467C">
          <w:rPr>
            <w:noProof/>
            <w:webHidden/>
          </w:rPr>
          <w:t>10</w:t>
        </w:r>
        <w:r w:rsidR="00EE52A9">
          <w:rPr>
            <w:noProof/>
            <w:webHidden/>
          </w:rPr>
          <w:fldChar w:fldCharType="end"/>
        </w:r>
      </w:hyperlink>
    </w:p>
    <w:p w14:paraId="775EE9AC"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41" w:history="1">
        <w:r w:rsidR="00EE52A9" w:rsidRPr="00F55EEC">
          <w:rPr>
            <w:rStyle w:val="Hyperlink"/>
            <w:noProof/>
          </w:rPr>
          <w:t>Mechanical &amp; Building Condition Reports</w:t>
        </w:r>
        <w:r w:rsidR="00EE52A9">
          <w:rPr>
            <w:noProof/>
            <w:webHidden/>
          </w:rPr>
          <w:tab/>
        </w:r>
        <w:r w:rsidR="00EE52A9">
          <w:rPr>
            <w:noProof/>
            <w:webHidden/>
          </w:rPr>
          <w:fldChar w:fldCharType="begin"/>
        </w:r>
        <w:r w:rsidR="00EE52A9">
          <w:rPr>
            <w:noProof/>
            <w:webHidden/>
          </w:rPr>
          <w:instrText xml:space="preserve"> PAGEREF _Toc507416341 \h </w:instrText>
        </w:r>
        <w:r w:rsidR="00EE52A9">
          <w:rPr>
            <w:noProof/>
            <w:webHidden/>
          </w:rPr>
        </w:r>
        <w:r w:rsidR="00EE52A9">
          <w:rPr>
            <w:noProof/>
            <w:webHidden/>
          </w:rPr>
          <w:fldChar w:fldCharType="separate"/>
        </w:r>
        <w:r w:rsidR="009B467C">
          <w:rPr>
            <w:noProof/>
            <w:webHidden/>
          </w:rPr>
          <w:t>10</w:t>
        </w:r>
        <w:r w:rsidR="00EE52A9">
          <w:rPr>
            <w:noProof/>
            <w:webHidden/>
          </w:rPr>
          <w:fldChar w:fldCharType="end"/>
        </w:r>
      </w:hyperlink>
    </w:p>
    <w:p w14:paraId="0F3759EF"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42" w:history="1">
        <w:r w:rsidR="00EE52A9" w:rsidRPr="00F55EEC">
          <w:rPr>
            <w:rStyle w:val="Hyperlink"/>
            <w:noProof/>
          </w:rPr>
          <w:t>Credit Administration</w:t>
        </w:r>
        <w:r w:rsidR="00EE52A9">
          <w:rPr>
            <w:noProof/>
            <w:webHidden/>
          </w:rPr>
          <w:tab/>
        </w:r>
        <w:r w:rsidR="00EE52A9">
          <w:rPr>
            <w:noProof/>
            <w:webHidden/>
          </w:rPr>
          <w:fldChar w:fldCharType="begin"/>
        </w:r>
        <w:r w:rsidR="00EE52A9">
          <w:rPr>
            <w:noProof/>
            <w:webHidden/>
          </w:rPr>
          <w:instrText xml:space="preserve"> PAGEREF _Toc507416342 \h </w:instrText>
        </w:r>
        <w:r w:rsidR="00EE52A9">
          <w:rPr>
            <w:noProof/>
            <w:webHidden/>
          </w:rPr>
        </w:r>
        <w:r w:rsidR="00EE52A9">
          <w:rPr>
            <w:noProof/>
            <w:webHidden/>
          </w:rPr>
          <w:fldChar w:fldCharType="separate"/>
        </w:r>
        <w:r w:rsidR="009B467C">
          <w:rPr>
            <w:noProof/>
            <w:webHidden/>
          </w:rPr>
          <w:t>10</w:t>
        </w:r>
        <w:r w:rsidR="00EE52A9">
          <w:rPr>
            <w:noProof/>
            <w:webHidden/>
          </w:rPr>
          <w:fldChar w:fldCharType="end"/>
        </w:r>
      </w:hyperlink>
    </w:p>
    <w:p w14:paraId="5981CF68"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43" w:history="1">
        <w:r w:rsidR="00EE52A9" w:rsidRPr="00F55EEC">
          <w:rPr>
            <w:rStyle w:val="Hyperlink"/>
            <w:noProof/>
          </w:rPr>
          <w:t>Annual Reviews</w:t>
        </w:r>
        <w:r w:rsidR="00EE52A9">
          <w:rPr>
            <w:noProof/>
            <w:webHidden/>
          </w:rPr>
          <w:tab/>
        </w:r>
        <w:r w:rsidR="00EE52A9">
          <w:rPr>
            <w:noProof/>
            <w:webHidden/>
          </w:rPr>
          <w:fldChar w:fldCharType="begin"/>
        </w:r>
        <w:r w:rsidR="00EE52A9">
          <w:rPr>
            <w:noProof/>
            <w:webHidden/>
          </w:rPr>
          <w:instrText xml:space="preserve"> PAGEREF _Toc507416343 \h </w:instrText>
        </w:r>
        <w:r w:rsidR="00EE52A9">
          <w:rPr>
            <w:noProof/>
            <w:webHidden/>
          </w:rPr>
        </w:r>
        <w:r w:rsidR="00EE52A9">
          <w:rPr>
            <w:noProof/>
            <w:webHidden/>
          </w:rPr>
          <w:fldChar w:fldCharType="separate"/>
        </w:r>
        <w:r w:rsidR="009B467C">
          <w:rPr>
            <w:noProof/>
            <w:webHidden/>
          </w:rPr>
          <w:t>10</w:t>
        </w:r>
        <w:r w:rsidR="00EE52A9">
          <w:rPr>
            <w:noProof/>
            <w:webHidden/>
          </w:rPr>
          <w:fldChar w:fldCharType="end"/>
        </w:r>
      </w:hyperlink>
    </w:p>
    <w:p w14:paraId="63FEC1B7"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44" w:history="1">
        <w:r w:rsidR="00EE52A9" w:rsidRPr="00F55EEC">
          <w:rPr>
            <w:rStyle w:val="Hyperlink"/>
            <w:noProof/>
          </w:rPr>
          <w:t>Delinquent Loan Management</w:t>
        </w:r>
        <w:r w:rsidR="00EE52A9">
          <w:rPr>
            <w:noProof/>
            <w:webHidden/>
          </w:rPr>
          <w:tab/>
        </w:r>
        <w:r w:rsidR="00EE52A9">
          <w:rPr>
            <w:noProof/>
            <w:webHidden/>
          </w:rPr>
          <w:fldChar w:fldCharType="begin"/>
        </w:r>
        <w:r w:rsidR="00EE52A9">
          <w:rPr>
            <w:noProof/>
            <w:webHidden/>
          </w:rPr>
          <w:instrText xml:space="preserve"> PAGEREF _Toc507416344 \h </w:instrText>
        </w:r>
        <w:r w:rsidR="00EE52A9">
          <w:rPr>
            <w:noProof/>
            <w:webHidden/>
          </w:rPr>
        </w:r>
        <w:r w:rsidR="00EE52A9">
          <w:rPr>
            <w:noProof/>
            <w:webHidden/>
          </w:rPr>
          <w:fldChar w:fldCharType="separate"/>
        </w:r>
        <w:r w:rsidR="009B467C">
          <w:rPr>
            <w:noProof/>
            <w:webHidden/>
          </w:rPr>
          <w:t>10</w:t>
        </w:r>
        <w:r w:rsidR="00EE52A9">
          <w:rPr>
            <w:noProof/>
            <w:webHidden/>
          </w:rPr>
          <w:fldChar w:fldCharType="end"/>
        </w:r>
      </w:hyperlink>
    </w:p>
    <w:p w14:paraId="3F5A69C4"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45" w:history="1">
        <w:r w:rsidR="00EE52A9" w:rsidRPr="00F55EEC">
          <w:rPr>
            <w:rStyle w:val="Hyperlink"/>
            <w:noProof/>
          </w:rPr>
          <w:t>Impaired Loan Management</w:t>
        </w:r>
        <w:r w:rsidR="00EE52A9">
          <w:rPr>
            <w:noProof/>
            <w:webHidden/>
          </w:rPr>
          <w:tab/>
        </w:r>
        <w:r w:rsidR="00EE52A9">
          <w:rPr>
            <w:noProof/>
            <w:webHidden/>
          </w:rPr>
          <w:fldChar w:fldCharType="begin"/>
        </w:r>
        <w:r w:rsidR="00EE52A9">
          <w:rPr>
            <w:noProof/>
            <w:webHidden/>
          </w:rPr>
          <w:instrText xml:space="preserve"> PAGEREF _Toc507416345 \h </w:instrText>
        </w:r>
        <w:r w:rsidR="00EE52A9">
          <w:rPr>
            <w:noProof/>
            <w:webHidden/>
          </w:rPr>
        </w:r>
        <w:r w:rsidR="00EE52A9">
          <w:rPr>
            <w:noProof/>
            <w:webHidden/>
          </w:rPr>
          <w:fldChar w:fldCharType="separate"/>
        </w:r>
        <w:r w:rsidR="009B467C">
          <w:rPr>
            <w:noProof/>
            <w:webHidden/>
          </w:rPr>
          <w:t>11</w:t>
        </w:r>
        <w:r w:rsidR="00EE52A9">
          <w:rPr>
            <w:noProof/>
            <w:webHidden/>
          </w:rPr>
          <w:fldChar w:fldCharType="end"/>
        </w:r>
      </w:hyperlink>
    </w:p>
    <w:p w14:paraId="0A984758"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46" w:history="1">
        <w:r w:rsidR="00EE52A9" w:rsidRPr="00F55EEC">
          <w:rPr>
            <w:rStyle w:val="Hyperlink"/>
            <w:noProof/>
          </w:rPr>
          <w:t>Loan Loss Allowances</w:t>
        </w:r>
        <w:r w:rsidR="00EE52A9">
          <w:rPr>
            <w:noProof/>
            <w:webHidden/>
          </w:rPr>
          <w:tab/>
        </w:r>
        <w:r w:rsidR="00EE52A9">
          <w:rPr>
            <w:noProof/>
            <w:webHidden/>
          </w:rPr>
          <w:fldChar w:fldCharType="begin"/>
        </w:r>
        <w:r w:rsidR="00EE52A9">
          <w:rPr>
            <w:noProof/>
            <w:webHidden/>
          </w:rPr>
          <w:instrText xml:space="preserve"> PAGEREF _Toc507416346 \h </w:instrText>
        </w:r>
        <w:r w:rsidR="00EE52A9">
          <w:rPr>
            <w:noProof/>
            <w:webHidden/>
          </w:rPr>
        </w:r>
        <w:r w:rsidR="00EE52A9">
          <w:rPr>
            <w:noProof/>
            <w:webHidden/>
          </w:rPr>
          <w:fldChar w:fldCharType="separate"/>
        </w:r>
        <w:r w:rsidR="009B467C">
          <w:rPr>
            <w:noProof/>
            <w:webHidden/>
          </w:rPr>
          <w:t>11</w:t>
        </w:r>
        <w:r w:rsidR="00EE52A9">
          <w:rPr>
            <w:noProof/>
            <w:webHidden/>
          </w:rPr>
          <w:fldChar w:fldCharType="end"/>
        </w:r>
      </w:hyperlink>
    </w:p>
    <w:p w14:paraId="0EF5A4DB"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47" w:history="1">
        <w:r w:rsidR="00EE52A9" w:rsidRPr="00F55EEC">
          <w:rPr>
            <w:rStyle w:val="Hyperlink"/>
            <w:noProof/>
          </w:rPr>
          <w:t>Collective Allowance (Provisions)</w:t>
        </w:r>
        <w:r w:rsidR="00EE52A9">
          <w:rPr>
            <w:noProof/>
            <w:webHidden/>
          </w:rPr>
          <w:tab/>
        </w:r>
        <w:r w:rsidR="00EE52A9">
          <w:rPr>
            <w:noProof/>
            <w:webHidden/>
          </w:rPr>
          <w:fldChar w:fldCharType="begin"/>
        </w:r>
        <w:r w:rsidR="00EE52A9">
          <w:rPr>
            <w:noProof/>
            <w:webHidden/>
          </w:rPr>
          <w:instrText xml:space="preserve"> PAGEREF _Toc507416347 \h </w:instrText>
        </w:r>
        <w:r w:rsidR="00EE52A9">
          <w:rPr>
            <w:noProof/>
            <w:webHidden/>
          </w:rPr>
        </w:r>
        <w:r w:rsidR="00EE52A9">
          <w:rPr>
            <w:noProof/>
            <w:webHidden/>
          </w:rPr>
          <w:fldChar w:fldCharType="separate"/>
        </w:r>
        <w:r w:rsidR="009B467C">
          <w:rPr>
            <w:noProof/>
            <w:webHidden/>
          </w:rPr>
          <w:t>11</w:t>
        </w:r>
        <w:r w:rsidR="00EE52A9">
          <w:rPr>
            <w:noProof/>
            <w:webHidden/>
          </w:rPr>
          <w:fldChar w:fldCharType="end"/>
        </w:r>
      </w:hyperlink>
    </w:p>
    <w:p w14:paraId="00C22DA5"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48" w:history="1">
        <w:r w:rsidR="00EE52A9" w:rsidRPr="00F55EEC">
          <w:rPr>
            <w:rStyle w:val="Hyperlink"/>
            <w:noProof/>
          </w:rPr>
          <w:t>Specific Allowance (Provisions)</w:t>
        </w:r>
        <w:r w:rsidR="00EE52A9">
          <w:rPr>
            <w:noProof/>
            <w:webHidden/>
          </w:rPr>
          <w:tab/>
        </w:r>
        <w:r w:rsidR="00EE52A9">
          <w:rPr>
            <w:noProof/>
            <w:webHidden/>
          </w:rPr>
          <w:fldChar w:fldCharType="begin"/>
        </w:r>
        <w:r w:rsidR="00EE52A9">
          <w:rPr>
            <w:noProof/>
            <w:webHidden/>
          </w:rPr>
          <w:instrText xml:space="preserve"> PAGEREF _Toc507416348 \h </w:instrText>
        </w:r>
        <w:r w:rsidR="00EE52A9">
          <w:rPr>
            <w:noProof/>
            <w:webHidden/>
          </w:rPr>
        </w:r>
        <w:r w:rsidR="00EE52A9">
          <w:rPr>
            <w:noProof/>
            <w:webHidden/>
          </w:rPr>
          <w:fldChar w:fldCharType="separate"/>
        </w:r>
        <w:r w:rsidR="009B467C">
          <w:rPr>
            <w:noProof/>
            <w:webHidden/>
          </w:rPr>
          <w:t>12</w:t>
        </w:r>
        <w:r w:rsidR="00EE52A9">
          <w:rPr>
            <w:noProof/>
            <w:webHidden/>
          </w:rPr>
          <w:fldChar w:fldCharType="end"/>
        </w:r>
      </w:hyperlink>
    </w:p>
    <w:p w14:paraId="345DBC61"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49" w:history="1">
        <w:r w:rsidR="00EE52A9" w:rsidRPr="00F55EEC">
          <w:rPr>
            <w:rStyle w:val="Hyperlink"/>
            <w:noProof/>
          </w:rPr>
          <w:t>Write-offs</w:t>
        </w:r>
        <w:r w:rsidR="00EE52A9">
          <w:rPr>
            <w:noProof/>
            <w:webHidden/>
          </w:rPr>
          <w:tab/>
        </w:r>
        <w:r w:rsidR="00EE52A9">
          <w:rPr>
            <w:noProof/>
            <w:webHidden/>
          </w:rPr>
          <w:fldChar w:fldCharType="begin"/>
        </w:r>
        <w:r w:rsidR="00EE52A9">
          <w:rPr>
            <w:noProof/>
            <w:webHidden/>
          </w:rPr>
          <w:instrText xml:space="preserve"> PAGEREF _Toc507416349 \h </w:instrText>
        </w:r>
        <w:r w:rsidR="00EE52A9">
          <w:rPr>
            <w:noProof/>
            <w:webHidden/>
          </w:rPr>
        </w:r>
        <w:r w:rsidR="00EE52A9">
          <w:rPr>
            <w:noProof/>
            <w:webHidden/>
          </w:rPr>
          <w:fldChar w:fldCharType="separate"/>
        </w:r>
        <w:r w:rsidR="009B467C">
          <w:rPr>
            <w:noProof/>
            <w:webHidden/>
          </w:rPr>
          <w:t>12</w:t>
        </w:r>
        <w:r w:rsidR="00EE52A9">
          <w:rPr>
            <w:noProof/>
            <w:webHidden/>
          </w:rPr>
          <w:fldChar w:fldCharType="end"/>
        </w:r>
      </w:hyperlink>
    </w:p>
    <w:p w14:paraId="0B1099E1"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0" w:history="1">
        <w:r w:rsidR="00EE52A9" w:rsidRPr="00F55EEC">
          <w:rPr>
            <w:rStyle w:val="Hyperlink"/>
            <w:noProof/>
          </w:rPr>
          <w:t>Risk Tolerance Levels</w:t>
        </w:r>
        <w:r w:rsidR="00EE52A9">
          <w:rPr>
            <w:noProof/>
            <w:webHidden/>
          </w:rPr>
          <w:tab/>
        </w:r>
        <w:r w:rsidR="00EE52A9">
          <w:rPr>
            <w:noProof/>
            <w:webHidden/>
          </w:rPr>
          <w:fldChar w:fldCharType="begin"/>
        </w:r>
        <w:r w:rsidR="00EE52A9">
          <w:rPr>
            <w:noProof/>
            <w:webHidden/>
          </w:rPr>
          <w:instrText xml:space="preserve"> PAGEREF _Toc507416350 \h </w:instrText>
        </w:r>
        <w:r w:rsidR="00EE52A9">
          <w:rPr>
            <w:noProof/>
            <w:webHidden/>
          </w:rPr>
        </w:r>
        <w:r w:rsidR="00EE52A9">
          <w:rPr>
            <w:noProof/>
            <w:webHidden/>
          </w:rPr>
          <w:fldChar w:fldCharType="separate"/>
        </w:r>
        <w:r w:rsidR="009B467C">
          <w:rPr>
            <w:noProof/>
            <w:webHidden/>
          </w:rPr>
          <w:t>12</w:t>
        </w:r>
        <w:r w:rsidR="00EE52A9">
          <w:rPr>
            <w:noProof/>
            <w:webHidden/>
          </w:rPr>
          <w:fldChar w:fldCharType="end"/>
        </w:r>
      </w:hyperlink>
    </w:p>
    <w:p w14:paraId="16EBF40A"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1" w:history="1">
        <w:r w:rsidR="00EE52A9" w:rsidRPr="00F55EEC">
          <w:rPr>
            <w:rStyle w:val="Hyperlink"/>
            <w:noProof/>
          </w:rPr>
          <w:t>Concentration Limits</w:t>
        </w:r>
        <w:r w:rsidR="00EE52A9">
          <w:rPr>
            <w:noProof/>
            <w:webHidden/>
          </w:rPr>
          <w:tab/>
        </w:r>
        <w:r w:rsidR="00EE52A9">
          <w:rPr>
            <w:noProof/>
            <w:webHidden/>
          </w:rPr>
          <w:fldChar w:fldCharType="begin"/>
        </w:r>
        <w:r w:rsidR="00EE52A9">
          <w:rPr>
            <w:noProof/>
            <w:webHidden/>
          </w:rPr>
          <w:instrText xml:space="preserve"> PAGEREF _Toc507416351 \h </w:instrText>
        </w:r>
        <w:r w:rsidR="00EE52A9">
          <w:rPr>
            <w:noProof/>
            <w:webHidden/>
          </w:rPr>
        </w:r>
        <w:r w:rsidR="00EE52A9">
          <w:rPr>
            <w:noProof/>
            <w:webHidden/>
          </w:rPr>
          <w:fldChar w:fldCharType="separate"/>
        </w:r>
        <w:r w:rsidR="009B467C">
          <w:rPr>
            <w:noProof/>
            <w:webHidden/>
          </w:rPr>
          <w:t>12</w:t>
        </w:r>
        <w:r w:rsidR="00EE52A9">
          <w:rPr>
            <w:noProof/>
            <w:webHidden/>
          </w:rPr>
          <w:fldChar w:fldCharType="end"/>
        </w:r>
      </w:hyperlink>
    </w:p>
    <w:p w14:paraId="74FDF4AA"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2" w:history="1">
        <w:r w:rsidR="00EE52A9" w:rsidRPr="00F55EEC">
          <w:rPr>
            <w:rStyle w:val="Hyperlink"/>
            <w:noProof/>
          </w:rPr>
          <w:t>Counterparty Risk</w:t>
        </w:r>
        <w:r w:rsidR="00EE52A9">
          <w:rPr>
            <w:noProof/>
            <w:webHidden/>
          </w:rPr>
          <w:tab/>
        </w:r>
        <w:r w:rsidR="00EE52A9">
          <w:rPr>
            <w:noProof/>
            <w:webHidden/>
          </w:rPr>
          <w:fldChar w:fldCharType="begin"/>
        </w:r>
        <w:r w:rsidR="00EE52A9">
          <w:rPr>
            <w:noProof/>
            <w:webHidden/>
          </w:rPr>
          <w:instrText xml:space="preserve"> PAGEREF _Toc507416352 \h </w:instrText>
        </w:r>
        <w:r w:rsidR="00EE52A9">
          <w:rPr>
            <w:noProof/>
            <w:webHidden/>
          </w:rPr>
        </w:r>
        <w:r w:rsidR="00EE52A9">
          <w:rPr>
            <w:noProof/>
            <w:webHidden/>
          </w:rPr>
          <w:fldChar w:fldCharType="separate"/>
        </w:r>
        <w:r w:rsidR="009B467C">
          <w:rPr>
            <w:noProof/>
            <w:webHidden/>
          </w:rPr>
          <w:t>12</w:t>
        </w:r>
        <w:r w:rsidR="00EE52A9">
          <w:rPr>
            <w:noProof/>
            <w:webHidden/>
          </w:rPr>
          <w:fldChar w:fldCharType="end"/>
        </w:r>
      </w:hyperlink>
    </w:p>
    <w:p w14:paraId="4DA01BD3"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3" w:history="1">
        <w:r w:rsidR="00EE52A9" w:rsidRPr="00F55EEC">
          <w:rPr>
            <w:rStyle w:val="Hyperlink"/>
            <w:noProof/>
          </w:rPr>
          <w:t>Stress Testing</w:t>
        </w:r>
        <w:r w:rsidR="00EE52A9">
          <w:rPr>
            <w:noProof/>
            <w:webHidden/>
          </w:rPr>
          <w:tab/>
        </w:r>
        <w:r w:rsidR="00EE52A9">
          <w:rPr>
            <w:noProof/>
            <w:webHidden/>
          </w:rPr>
          <w:fldChar w:fldCharType="begin"/>
        </w:r>
        <w:r w:rsidR="00EE52A9">
          <w:rPr>
            <w:noProof/>
            <w:webHidden/>
          </w:rPr>
          <w:instrText xml:space="preserve"> PAGEREF _Toc507416353 \h </w:instrText>
        </w:r>
        <w:r w:rsidR="00EE52A9">
          <w:rPr>
            <w:noProof/>
            <w:webHidden/>
          </w:rPr>
        </w:r>
        <w:r w:rsidR="00EE52A9">
          <w:rPr>
            <w:noProof/>
            <w:webHidden/>
          </w:rPr>
          <w:fldChar w:fldCharType="separate"/>
        </w:r>
        <w:r w:rsidR="009B467C">
          <w:rPr>
            <w:noProof/>
            <w:webHidden/>
          </w:rPr>
          <w:t>12</w:t>
        </w:r>
        <w:r w:rsidR="00EE52A9">
          <w:rPr>
            <w:noProof/>
            <w:webHidden/>
          </w:rPr>
          <w:fldChar w:fldCharType="end"/>
        </w:r>
      </w:hyperlink>
    </w:p>
    <w:p w14:paraId="12584BD7"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54" w:history="1">
        <w:r w:rsidR="00EE52A9" w:rsidRPr="00F55EEC">
          <w:rPr>
            <w:rStyle w:val="Hyperlink"/>
            <w:rFonts w:eastAsia="Calibri"/>
            <w:noProof/>
          </w:rPr>
          <w:t>Individual Stress Testing</w:t>
        </w:r>
        <w:r w:rsidR="00EE52A9">
          <w:rPr>
            <w:noProof/>
            <w:webHidden/>
          </w:rPr>
          <w:tab/>
        </w:r>
        <w:r w:rsidR="00EE52A9">
          <w:rPr>
            <w:noProof/>
            <w:webHidden/>
          </w:rPr>
          <w:fldChar w:fldCharType="begin"/>
        </w:r>
        <w:r w:rsidR="00EE52A9">
          <w:rPr>
            <w:noProof/>
            <w:webHidden/>
          </w:rPr>
          <w:instrText xml:space="preserve"> PAGEREF _Toc507416354 \h </w:instrText>
        </w:r>
        <w:r w:rsidR="00EE52A9">
          <w:rPr>
            <w:noProof/>
            <w:webHidden/>
          </w:rPr>
        </w:r>
        <w:r w:rsidR="00EE52A9">
          <w:rPr>
            <w:noProof/>
            <w:webHidden/>
          </w:rPr>
          <w:fldChar w:fldCharType="separate"/>
        </w:r>
        <w:r w:rsidR="009B467C">
          <w:rPr>
            <w:noProof/>
            <w:webHidden/>
          </w:rPr>
          <w:t>12</w:t>
        </w:r>
        <w:r w:rsidR="00EE52A9">
          <w:rPr>
            <w:noProof/>
            <w:webHidden/>
          </w:rPr>
          <w:fldChar w:fldCharType="end"/>
        </w:r>
      </w:hyperlink>
    </w:p>
    <w:p w14:paraId="606236F1" w14:textId="77777777" w:rsidR="00EE52A9" w:rsidRDefault="00F471EE">
      <w:pPr>
        <w:pStyle w:val="TOC2"/>
        <w:tabs>
          <w:tab w:val="right" w:leader="dot" w:pos="9767"/>
        </w:tabs>
        <w:rPr>
          <w:rFonts w:asciiTheme="minorHAnsi" w:eastAsiaTheme="minorEastAsia" w:hAnsiTheme="minorHAnsi" w:cstheme="minorBidi"/>
          <w:noProof/>
          <w:szCs w:val="22"/>
          <w:lang w:eastAsia="en-CA"/>
        </w:rPr>
      </w:pPr>
      <w:hyperlink w:anchor="_Toc507416355" w:history="1">
        <w:r w:rsidR="00EE52A9" w:rsidRPr="00F55EEC">
          <w:rPr>
            <w:rStyle w:val="Hyperlink"/>
            <w:rFonts w:eastAsia="Calibri"/>
            <w:noProof/>
          </w:rPr>
          <w:t>Portfolio Stress Testing</w:t>
        </w:r>
        <w:r w:rsidR="00EE52A9">
          <w:rPr>
            <w:noProof/>
            <w:webHidden/>
          </w:rPr>
          <w:tab/>
        </w:r>
        <w:r w:rsidR="00EE52A9">
          <w:rPr>
            <w:noProof/>
            <w:webHidden/>
          </w:rPr>
          <w:fldChar w:fldCharType="begin"/>
        </w:r>
        <w:r w:rsidR="00EE52A9">
          <w:rPr>
            <w:noProof/>
            <w:webHidden/>
          </w:rPr>
          <w:instrText xml:space="preserve"> PAGEREF _Toc507416355 \h </w:instrText>
        </w:r>
        <w:r w:rsidR="00EE52A9">
          <w:rPr>
            <w:noProof/>
            <w:webHidden/>
          </w:rPr>
        </w:r>
        <w:r w:rsidR="00EE52A9">
          <w:rPr>
            <w:noProof/>
            <w:webHidden/>
          </w:rPr>
          <w:fldChar w:fldCharType="separate"/>
        </w:r>
        <w:r w:rsidR="009B467C">
          <w:rPr>
            <w:noProof/>
            <w:webHidden/>
          </w:rPr>
          <w:t>13</w:t>
        </w:r>
        <w:r w:rsidR="00EE52A9">
          <w:rPr>
            <w:noProof/>
            <w:webHidden/>
          </w:rPr>
          <w:fldChar w:fldCharType="end"/>
        </w:r>
      </w:hyperlink>
    </w:p>
    <w:p w14:paraId="32E2B277"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6" w:history="1">
        <w:r w:rsidR="00EE52A9" w:rsidRPr="00F55EEC">
          <w:rPr>
            <w:rStyle w:val="Hyperlink"/>
            <w:noProof/>
          </w:rPr>
          <w:t>Early Warning Signals:</w:t>
        </w:r>
        <w:r w:rsidR="00EE52A9">
          <w:rPr>
            <w:noProof/>
            <w:webHidden/>
          </w:rPr>
          <w:tab/>
        </w:r>
        <w:r w:rsidR="00EE52A9">
          <w:rPr>
            <w:noProof/>
            <w:webHidden/>
          </w:rPr>
          <w:fldChar w:fldCharType="begin"/>
        </w:r>
        <w:r w:rsidR="00EE52A9">
          <w:rPr>
            <w:noProof/>
            <w:webHidden/>
          </w:rPr>
          <w:instrText xml:space="preserve"> PAGEREF _Toc507416356 \h </w:instrText>
        </w:r>
        <w:r w:rsidR="00EE52A9">
          <w:rPr>
            <w:noProof/>
            <w:webHidden/>
          </w:rPr>
        </w:r>
        <w:r w:rsidR="00EE52A9">
          <w:rPr>
            <w:noProof/>
            <w:webHidden/>
          </w:rPr>
          <w:fldChar w:fldCharType="separate"/>
        </w:r>
        <w:r w:rsidR="009B467C">
          <w:rPr>
            <w:noProof/>
            <w:webHidden/>
          </w:rPr>
          <w:t>13</w:t>
        </w:r>
        <w:r w:rsidR="00EE52A9">
          <w:rPr>
            <w:noProof/>
            <w:webHidden/>
          </w:rPr>
          <w:fldChar w:fldCharType="end"/>
        </w:r>
      </w:hyperlink>
    </w:p>
    <w:p w14:paraId="3DE53CD2"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7" w:history="1">
        <w:r w:rsidR="00EE52A9" w:rsidRPr="00F55EEC">
          <w:rPr>
            <w:rStyle w:val="Hyperlink"/>
            <w:noProof/>
          </w:rPr>
          <w:t>Reporting</w:t>
        </w:r>
        <w:r w:rsidR="00EE52A9">
          <w:rPr>
            <w:noProof/>
            <w:webHidden/>
          </w:rPr>
          <w:tab/>
        </w:r>
        <w:r w:rsidR="00EE52A9">
          <w:rPr>
            <w:noProof/>
            <w:webHidden/>
          </w:rPr>
          <w:fldChar w:fldCharType="begin"/>
        </w:r>
        <w:r w:rsidR="00EE52A9">
          <w:rPr>
            <w:noProof/>
            <w:webHidden/>
          </w:rPr>
          <w:instrText xml:space="preserve"> PAGEREF _Toc507416357 \h </w:instrText>
        </w:r>
        <w:r w:rsidR="00EE52A9">
          <w:rPr>
            <w:noProof/>
            <w:webHidden/>
          </w:rPr>
        </w:r>
        <w:r w:rsidR="00EE52A9">
          <w:rPr>
            <w:noProof/>
            <w:webHidden/>
          </w:rPr>
          <w:fldChar w:fldCharType="separate"/>
        </w:r>
        <w:r w:rsidR="009B467C">
          <w:rPr>
            <w:noProof/>
            <w:webHidden/>
          </w:rPr>
          <w:t>13</w:t>
        </w:r>
        <w:r w:rsidR="00EE52A9">
          <w:rPr>
            <w:noProof/>
            <w:webHidden/>
          </w:rPr>
          <w:fldChar w:fldCharType="end"/>
        </w:r>
      </w:hyperlink>
    </w:p>
    <w:p w14:paraId="1E5B29F8"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8" w:history="1">
        <w:r w:rsidR="00EE52A9" w:rsidRPr="00F55EEC">
          <w:rPr>
            <w:rStyle w:val="Hyperlink"/>
            <w:noProof/>
          </w:rPr>
          <w:t>Effective Date</w:t>
        </w:r>
        <w:r w:rsidR="00EE52A9">
          <w:rPr>
            <w:noProof/>
            <w:webHidden/>
          </w:rPr>
          <w:tab/>
        </w:r>
        <w:r w:rsidR="00EE52A9">
          <w:rPr>
            <w:noProof/>
            <w:webHidden/>
          </w:rPr>
          <w:fldChar w:fldCharType="begin"/>
        </w:r>
        <w:r w:rsidR="00EE52A9">
          <w:rPr>
            <w:noProof/>
            <w:webHidden/>
          </w:rPr>
          <w:instrText xml:space="preserve"> PAGEREF _Toc507416358 \h </w:instrText>
        </w:r>
        <w:r w:rsidR="00EE52A9">
          <w:rPr>
            <w:noProof/>
            <w:webHidden/>
          </w:rPr>
        </w:r>
        <w:r w:rsidR="00EE52A9">
          <w:rPr>
            <w:noProof/>
            <w:webHidden/>
          </w:rPr>
          <w:fldChar w:fldCharType="separate"/>
        </w:r>
        <w:r w:rsidR="009B467C">
          <w:rPr>
            <w:noProof/>
            <w:webHidden/>
          </w:rPr>
          <w:t>13</w:t>
        </w:r>
        <w:r w:rsidR="00EE52A9">
          <w:rPr>
            <w:noProof/>
            <w:webHidden/>
          </w:rPr>
          <w:fldChar w:fldCharType="end"/>
        </w:r>
      </w:hyperlink>
    </w:p>
    <w:p w14:paraId="2A65D53A"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59" w:history="1">
        <w:r w:rsidR="00EE52A9" w:rsidRPr="00F55EEC">
          <w:rPr>
            <w:rStyle w:val="Hyperlink"/>
            <w:noProof/>
          </w:rPr>
          <w:t>References</w:t>
        </w:r>
        <w:r w:rsidR="00EE52A9">
          <w:rPr>
            <w:noProof/>
            <w:webHidden/>
          </w:rPr>
          <w:tab/>
        </w:r>
        <w:r w:rsidR="00EE52A9">
          <w:rPr>
            <w:noProof/>
            <w:webHidden/>
          </w:rPr>
          <w:fldChar w:fldCharType="begin"/>
        </w:r>
        <w:r w:rsidR="00EE52A9">
          <w:rPr>
            <w:noProof/>
            <w:webHidden/>
          </w:rPr>
          <w:instrText xml:space="preserve"> PAGEREF _Toc507416359 \h </w:instrText>
        </w:r>
        <w:r w:rsidR="00EE52A9">
          <w:rPr>
            <w:noProof/>
            <w:webHidden/>
          </w:rPr>
        </w:r>
        <w:r w:rsidR="00EE52A9">
          <w:rPr>
            <w:noProof/>
            <w:webHidden/>
          </w:rPr>
          <w:fldChar w:fldCharType="separate"/>
        </w:r>
        <w:r w:rsidR="009B467C">
          <w:rPr>
            <w:noProof/>
            <w:webHidden/>
          </w:rPr>
          <w:t>14</w:t>
        </w:r>
        <w:r w:rsidR="00EE52A9">
          <w:rPr>
            <w:noProof/>
            <w:webHidden/>
          </w:rPr>
          <w:fldChar w:fldCharType="end"/>
        </w:r>
      </w:hyperlink>
    </w:p>
    <w:p w14:paraId="1FB1EC83"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60" w:history="1">
        <w:r w:rsidR="00EE52A9" w:rsidRPr="00F55EEC">
          <w:rPr>
            <w:rStyle w:val="Hyperlink"/>
            <w:noProof/>
          </w:rPr>
          <w:t>Abbreviations</w:t>
        </w:r>
        <w:r w:rsidR="00EE52A9">
          <w:rPr>
            <w:noProof/>
            <w:webHidden/>
          </w:rPr>
          <w:tab/>
        </w:r>
        <w:r w:rsidR="00EE52A9">
          <w:rPr>
            <w:noProof/>
            <w:webHidden/>
          </w:rPr>
          <w:fldChar w:fldCharType="begin"/>
        </w:r>
        <w:r w:rsidR="00EE52A9">
          <w:rPr>
            <w:noProof/>
            <w:webHidden/>
          </w:rPr>
          <w:instrText xml:space="preserve"> PAGEREF _Toc507416360 \h </w:instrText>
        </w:r>
        <w:r w:rsidR="00EE52A9">
          <w:rPr>
            <w:noProof/>
            <w:webHidden/>
          </w:rPr>
        </w:r>
        <w:r w:rsidR="00EE52A9">
          <w:rPr>
            <w:noProof/>
            <w:webHidden/>
          </w:rPr>
          <w:fldChar w:fldCharType="separate"/>
        </w:r>
        <w:r w:rsidR="009B467C">
          <w:rPr>
            <w:noProof/>
            <w:webHidden/>
          </w:rPr>
          <w:t>14</w:t>
        </w:r>
        <w:r w:rsidR="00EE52A9">
          <w:rPr>
            <w:noProof/>
            <w:webHidden/>
          </w:rPr>
          <w:fldChar w:fldCharType="end"/>
        </w:r>
      </w:hyperlink>
    </w:p>
    <w:p w14:paraId="07CB1A49"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61" w:history="1">
        <w:r w:rsidR="00EE52A9" w:rsidRPr="00F55EEC">
          <w:rPr>
            <w:rStyle w:val="Hyperlink"/>
            <w:noProof/>
          </w:rPr>
          <w:t>Glossary:</w:t>
        </w:r>
        <w:r w:rsidR="00EE52A9">
          <w:rPr>
            <w:noProof/>
            <w:webHidden/>
          </w:rPr>
          <w:tab/>
        </w:r>
        <w:r w:rsidR="00EE52A9">
          <w:rPr>
            <w:noProof/>
            <w:webHidden/>
          </w:rPr>
          <w:fldChar w:fldCharType="begin"/>
        </w:r>
        <w:r w:rsidR="00EE52A9">
          <w:rPr>
            <w:noProof/>
            <w:webHidden/>
          </w:rPr>
          <w:instrText xml:space="preserve"> PAGEREF _Toc507416361 \h </w:instrText>
        </w:r>
        <w:r w:rsidR="00EE52A9">
          <w:rPr>
            <w:noProof/>
            <w:webHidden/>
          </w:rPr>
        </w:r>
        <w:r w:rsidR="00EE52A9">
          <w:rPr>
            <w:noProof/>
            <w:webHidden/>
          </w:rPr>
          <w:fldChar w:fldCharType="separate"/>
        </w:r>
        <w:r w:rsidR="009B467C">
          <w:rPr>
            <w:noProof/>
            <w:webHidden/>
          </w:rPr>
          <w:t>15</w:t>
        </w:r>
        <w:r w:rsidR="00EE52A9">
          <w:rPr>
            <w:noProof/>
            <w:webHidden/>
          </w:rPr>
          <w:fldChar w:fldCharType="end"/>
        </w:r>
      </w:hyperlink>
    </w:p>
    <w:p w14:paraId="15BC1AF2"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62" w:history="1">
        <w:r w:rsidR="00EE52A9" w:rsidRPr="00F55EEC">
          <w:rPr>
            <w:rStyle w:val="Hyperlink"/>
            <w:noProof/>
          </w:rPr>
          <w:t>Appendix “A” Risk Tolerance Levels</w:t>
        </w:r>
        <w:r w:rsidR="00EE52A9">
          <w:rPr>
            <w:noProof/>
            <w:webHidden/>
          </w:rPr>
          <w:tab/>
        </w:r>
        <w:r w:rsidR="00EE52A9">
          <w:rPr>
            <w:noProof/>
            <w:webHidden/>
          </w:rPr>
          <w:fldChar w:fldCharType="begin"/>
        </w:r>
        <w:r w:rsidR="00EE52A9">
          <w:rPr>
            <w:noProof/>
            <w:webHidden/>
          </w:rPr>
          <w:instrText xml:space="preserve"> PAGEREF _Toc507416362 \h </w:instrText>
        </w:r>
        <w:r w:rsidR="00EE52A9">
          <w:rPr>
            <w:noProof/>
            <w:webHidden/>
          </w:rPr>
        </w:r>
        <w:r w:rsidR="00EE52A9">
          <w:rPr>
            <w:noProof/>
            <w:webHidden/>
          </w:rPr>
          <w:fldChar w:fldCharType="separate"/>
        </w:r>
        <w:r w:rsidR="009B467C">
          <w:rPr>
            <w:noProof/>
            <w:webHidden/>
          </w:rPr>
          <w:t>17</w:t>
        </w:r>
        <w:r w:rsidR="00EE52A9">
          <w:rPr>
            <w:noProof/>
            <w:webHidden/>
          </w:rPr>
          <w:fldChar w:fldCharType="end"/>
        </w:r>
      </w:hyperlink>
    </w:p>
    <w:p w14:paraId="6C6260C5"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63" w:history="1">
        <w:r w:rsidR="00EE52A9" w:rsidRPr="00F55EEC">
          <w:rPr>
            <w:rStyle w:val="Hyperlink"/>
            <w:noProof/>
          </w:rPr>
          <w:t>Appendix “B” Concentration Limits</w:t>
        </w:r>
        <w:r w:rsidR="00EE52A9">
          <w:rPr>
            <w:noProof/>
            <w:webHidden/>
          </w:rPr>
          <w:tab/>
        </w:r>
        <w:r w:rsidR="00EE52A9">
          <w:rPr>
            <w:noProof/>
            <w:webHidden/>
          </w:rPr>
          <w:fldChar w:fldCharType="begin"/>
        </w:r>
        <w:r w:rsidR="00EE52A9">
          <w:rPr>
            <w:noProof/>
            <w:webHidden/>
          </w:rPr>
          <w:instrText xml:space="preserve"> PAGEREF _Toc507416363 \h </w:instrText>
        </w:r>
        <w:r w:rsidR="00EE52A9">
          <w:rPr>
            <w:noProof/>
            <w:webHidden/>
          </w:rPr>
        </w:r>
        <w:r w:rsidR="00EE52A9">
          <w:rPr>
            <w:noProof/>
            <w:webHidden/>
          </w:rPr>
          <w:fldChar w:fldCharType="separate"/>
        </w:r>
        <w:r w:rsidR="009B467C">
          <w:rPr>
            <w:noProof/>
            <w:webHidden/>
          </w:rPr>
          <w:t>18</w:t>
        </w:r>
        <w:r w:rsidR="00EE52A9">
          <w:rPr>
            <w:noProof/>
            <w:webHidden/>
          </w:rPr>
          <w:fldChar w:fldCharType="end"/>
        </w:r>
      </w:hyperlink>
    </w:p>
    <w:p w14:paraId="152761E0"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64" w:history="1">
        <w:r w:rsidR="00EE52A9" w:rsidRPr="00F55EEC">
          <w:rPr>
            <w:rStyle w:val="Hyperlink"/>
            <w:noProof/>
          </w:rPr>
          <w:t>Appendix “C” Delegated Credit Limits and Conditions</w:t>
        </w:r>
        <w:r w:rsidR="00EE52A9">
          <w:rPr>
            <w:noProof/>
            <w:webHidden/>
          </w:rPr>
          <w:tab/>
        </w:r>
        <w:r w:rsidR="00EE52A9">
          <w:rPr>
            <w:noProof/>
            <w:webHidden/>
          </w:rPr>
          <w:fldChar w:fldCharType="begin"/>
        </w:r>
        <w:r w:rsidR="00EE52A9">
          <w:rPr>
            <w:noProof/>
            <w:webHidden/>
          </w:rPr>
          <w:instrText xml:space="preserve"> PAGEREF _Toc507416364 \h </w:instrText>
        </w:r>
        <w:r w:rsidR="00EE52A9">
          <w:rPr>
            <w:noProof/>
            <w:webHidden/>
          </w:rPr>
        </w:r>
        <w:r w:rsidR="00EE52A9">
          <w:rPr>
            <w:noProof/>
            <w:webHidden/>
          </w:rPr>
          <w:fldChar w:fldCharType="separate"/>
        </w:r>
        <w:r w:rsidR="009B467C">
          <w:rPr>
            <w:noProof/>
            <w:webHidden/>
          </w:rPr>
          <w:t>19</w:t>
        </w:r>
        <w:r w:rsidR="00EE52A9">
          <w:rPr>
            <w:noProof/>
            <w:webHidden/>
          </w:rPr>
          <w:fldChar w:fldCharType="end"/>
        </w:r>
      </w:hyperlink>
    </w:p>
    <w:p w14:paraId="22E28F0A"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65" w:history="1">
        <w:r w:rsidR="00EE52A9" w:rsidRPr="00F55EEC">
          <w:rPr>
            <w:rStyle w:val="Hyperlink"/>
            <w:noProof/>
          </w:rPr>
          <w:t>Appendix “D” Board Risk Committee Terms of Reference</w:t>
        </w:r>
        <w:r w:rsidR="00EE52A9">
          <w:rPr>
            <w:noProof/>
            <w:webHidden/>
          </w:rPr>
          <w:tab/>
        </w:r>
        <w:r w:rsidR="00EE52A9">
          <w:rPr>
            <w:noProof/>
            <w:webHidden/>
          </w:rPr>
          <w:fldChar w:fldCharType="begin"/>
        </w:r>
        <w:r w:rsidR="00EE52A9">
          <w:rPr>
            <w:noProof/>
            <w:webHidden/>
          </w:rPr>
          <w:instrText xml:space="preserve"> PAGEREF _Toc507416365 \h </w:instrText>
        </w:r>
        <w:r w:rsidR="00EE52A9">
          <w:rPr>
            <w:noProof/>
            <w:webHidden/>
          </w:rPr>
        </w:r>
        <w:r w:rsidR="00EE52A9">
          <w:rPr>
            <w:noProof/>
            <w:webHidden/>
          </w:rPr>
          <w:fldChar w:fldCharType="separate"/>
        </w:r>
        <w:r w:rsidR="009B467C">
          <w:rPr>
            <w:noProof/>
            <w:webHidden/>
          </w:rPr>
          <w:t>20</w:t>
        </w:r>
        <w:r w:rsidR="00EE52A9">
          <w:rPr>
            <w:noProof/>
            <w:webHidden/>
          </w:rPr>
          <w:fldChar w:fldCharType="end"/>
        </w:r>
      </w:hyperlink>
    </w:p>
    <w:p w14:paraId="6896431B" w14:textId="77777777" w:rsidR="00EE52A9" w:rsidRDefault="00F471EE">
      <w:pPr>
        <w:pStyle w:val="TOC1"/>
        <w:tabs>
          <w:tab w:val="right" w:leader="dot" w:pos="9767"/>
        </w:tabs>
        <w:rPr>
          <w:rFonts w:asciiTheme="minorHAnsi" w:eastAsiaTheme="minorEastAsia" w:hAnsiTheme="minorHAnsi" w:cstheme="minorBidi"/>
          <w:noProof/>
          <w:szCs w:val="22"/>
          <w:lang w:eastAsia="en-CA"/>
        </w:rPr>
      </w:pPr>
      <w:hyperlink w:anchor="_Toc507416366" w:history="1">
        <w:r w:rsidR="00EE52A9" w:rsidRPr="00F55EEC">
          <w:rPr>
            <w:rStyle w:val="Hyperlink"/>
            <w:noProof/>
          </w:rPr>
          <w:t>Appendix “E” Management Credit Committee Terms of Reference</w:t>
        </w:r>
        <w:r w:rsidR="00EE52A9">
          <w:rPr>
            <w:noProof/>
            <w:webHidden/>
          </w:rPr>
          <w:tab/>
        </w:r>
        <w:r w:rsidR="00EE52A9">
          <w:rPr>
            <w:noProof/>
            <w:webHidden/>
          </w:rPr>
          <w:fldChar w:fldCharType="begin"/>
        </w:r>
        <w:r w:rsidR="00EE52A9">
          <w:rPr>
            <w:noProof/>
            <w:webHidden/>
          </w:rPr>
          <w:instrText xml:space="preserve"> PAGEREF _Toc507416366 \h </w:instrText>
        </w:r>
        <w:r w:rsidR="00EE52A9">
          <w:rPr>
            <w:noProof/>
            <w:webHidden/>
          </w:rPr>
        </w:r>
        <w:r w:rsidR="00EE52A9">
          <w:rPr>
            <w:noProof/>
            <w:webHidden/>
          </w:rPr>
          <w:fldChar w:fldCharType="separate"/>
        </w:r>
        <w:r w:rsidR="009B467C">
          <w:rPr>
            <w:noProof/>
            <w:webHidden/>
          </w:rPr>
          <w:t>21</w:t>
        </w:r>
        <w:r w:rsidR="00EE52A9">
          <w:rPr>
            <w:noProof/>
            <w:webHidden/>
          </w:rPr>
          <w:fldChar w:fldCharType="end"/>
        </w:r>
      </w:hyperlink>
    </w:p>
    <w:p w14:paraId="67993FCB" w14:textId="77777777" w:rsidR="00420AFB" w:rsidRPr="00392020" w:rsidRDefault="00E338D5" w:rsidP="00EE52A9">
      <w:pPr>
        <w:pStyle w:val="Heading1"/>
      </w:pPr>
      <w:r w:rsidRPr="00392020">
        <w:lastRenderedPageBreak/>
        <w:fldChar w:fldCharType="end"/>
      </w:r>
      <w:bookmarkStart w:id="1" w:name="_Toc321901215"/>
      <w:bookmarkStart w:id="2" w:name="_Toc507416318"/>
      <w:r w:rsidR="00420AFB" w:rsidRPr="00392020">
        <w:t>Background</w:t>
      </w:r>
      <w:bookmarkEnd w:id="1"/>
      <w:bookmarkEnd w:id="2"/>
    </w:p>
    <w:p w14:paraId="7D31388B" w14:textId="77777777" w:rsidR="00F56C98" w:rsidRPr="00392020" w:rsidRDefault="004F410A" w:rsidP="00CE1B3E">
      <w:pPr>
        <w:spacing w:before="120" w:after="60" w:line="276" w:lineRule="auto"/>
      </w:pPr>
      <w:r w:rsidRPr="00392020">
        <w:t>Credit r</w:t>
      </w:r>
      <w:r w:rsidR="00F56C98" w:rsidRPr="00392020">
        <w:t xml:space="preserve">isk is the potential that a borrower or counterparty will fail to meet its obligations in accordance with agreed terms. </w:t>
      </w:r>
      <w:r w:rsidR="000D0E6E" w:rsidRPr="00392020">
        <w:t>Settlement risk</w:t>
      </w:r>
      <w:r w:rsidR="00D30E09" w:rsidRPr="00392020">
        <w:t xml:space="preserve"> </w:t>
      </w:r>
      <w:r w:rsidR="002575B7" w:rsidRPr="00392020">
        <w:t xml:space="preserve">is </w:t>
      </w:r>
      <w:r w:rsidR="000D0E6E" w:rsidRPr="00392020">
        <w:t xml:space="preserve">the </w:t>
      </w:r>
      <w:r w:rsidR="00DA4951" w:rsidRPr="00392020">
        <w:t>potential</w:t>
      </w:r>
      <w:r w:rsidR="000D0E6E" w:rsidRPr="00392020">
        <w:t xml:space="preserve"> that completion of </w:t>
      </w:r>
      <w:r w:rsidR="00DA4951" w:rsidRPr="00392020">
        <w:t xml:space="preserve">a </w:t>
      </w:r>
      <w:r w:rsidR="000D0E6E" w:rsidRPr="00392020">
        <w:t>financial transaction will fail to occur as intended</w:t>
      </w:r>
      <w:r w:rsidR="002575B7" w:rsidRPr="00392020">
        <w:t xml:space="preserve"> and </w:t>
      </w:r>
      <w:r w:rsidR="003860C7" w:rsidRPr="00392020">
        <w:t>will</w:t>
      </w:r>
      <w:r w:rsidR="000D0E6E" w:rsidRPr="00392020">
        <w:t xml:space="preserve"> be considered as a subcomponent of credit risk</w:t>
      </w:r>
      <w:r w:rsidR="00DA4951" w:rsidRPr="00392020">
        <w:t>, where appropriate</w:t>
      </w:r>
      <w:r w:rsidR="000D0E6E" w:rsidRPr="00392020">
        <w:t xml:space="preserve">. </w:t>
      </w:r>
      <w:r w:rsidR="00D30E09" w:rsidRPr="00392020">
        <w:t xml:space="preserve">A </w:t>
      </w:r>
      <w:r w:rsidR="000842AB" w:rsidRPr="00392020">
        <w:t>c</w:t>
      </w:r>
      <w:r w:rsidR="00D30E09" w:rsidRPr="00392020">
        <w:t xml:space="preserve">ustomer </w:t>
      </w:r>
      <w:r w:rsidR="000842AB" w:rsidRPr="00392020">
        <w:t>a</w:t>
      </w:r>
      <w:r w:rsidR="00D30E09" w:rsidRPr="00392020">
        <w:t xml:space="preserve">utomated </w:t>
      </w:r>
      <w:r w:rsidR="000842AB" w:rsidRPr="00392020">
        <w:t>f</w:t>
      </w:r>
      <w:r w:rsidR="00D30E09" w:rsidRPr="00392020">
        <w:t xml:space="preserve">unds </w:t>
      </w:r>
      <w:r w:rsidR="000842AB" w:rsidRPr="00392020">
        <w:t>t</w:t>
      </w:r>
      <w:r w:rsidR="00D30E09" w:rsidRPr="00392020">
        <w:t xml:space="preserve">ransfer (CAFT) facility, that is not pre-settled, is </w:t>
      </w:r>
      <w:r w:rsidR="00DA4951" w:rsidRPr="00392020">
        <w:t>one</w:t>
      </w:r>
      <w:r w:rsidR="00D30E09" w:rsidRPr="00392020">
        <w:t xml:space="preserve"> example of settlement risk. </w:t>
      </w:r>
      <w:r w:rsidR="002747D8" w:rsidRPr="00392020">
        <w:rPr>
          <w:color w:val="2E74B5"/>
        </w:rPr>
        <w:fldChar w:fldCharType="begin"/>
      </w:r>
      <w:r w:rsidR="002747D8" w:rsidRPr="00392020">
        <w:rPr>
          <w:color w:val="2E74B5"/>
        </w:rPr>
        <w:instrText xml:space="preserve"> MACROBUTTON  AcceptAllChangesInDoc "Credit Union Name" </w:instrText>
      </w:r>
      <w:r w:rsidR="002747D8" w:rsidRPr="00392020">
        <w:rPr>
          <w:color w:val="2E74B5"/>
        </w:rPr>
        <w:fldChar w:fldCharType="end"/>
      </w:r>
      <w:r w:rsidR="00C34CC7" w:rsidRPr="00392020">
        <w:t>will</w:t>
      </w:r>
      <w:r w:rsidR="00F56C98" w:rsidRPr="00392020">
        <w:t xml:space="preserve"> manage credit risk inherent in the portfolio, </w:t>
      </w:r>
      <w:r w:rsidR="00943F5E" w:rsidRPr="00392020">
        <w:t xml:space="preserve">including concentration risk </w:t>
      </w:r>
      <w:r w:rsidR="00F56C98" w:rsidRPr="00392020">
        <w:t xml:space="preserve">as well as individual, connected and related </w:t>
      </w:r>
      <w:r w:rsidR="00DA4951" w:rsidRPr="00392020">
        <w:t xml:space="preserve">credit </w:t>
      </w:r>
      <w:r w:rsidR="00F56C98" w:rsidRPr="00392020">
        <w:t xml:space="preserve">risk of </w:t>
      </w:r>
      <w:r w:rsidR="00DA4951" w:rsidRPr="00392020">
        <w:t xml:space="preserve">loans, guarantees and </w:t>
      </w:r>
      <w:r w:rsidR="00F56C98" w:rsidRPr="00392020">
        <w:t>transactions.</w:t>
      </w:r>
    </w:p>
    <w:p w14:paraId="6453189E" w14:textId="77777777" w:rsidR="00026276" w:rsidRPr="00392020" w:rsidRDefault="00026276" w:rsidP="00CE1B3E">
      <w:pPr>
        <w:spacing w:before="120" w:after="60" w:line="276" w:lineRule="auto"/>
      </w:pPr>
      <w:r w:rsidRPr="00392020">
        <w:t xml:space="preserve">The </w:t>
      </w:r>
      <w:r w:rsidR="001F523F" w:rsidRPr="00392020">
        <w:t xml:space="preserve">Board </w:t>
      </w:r>
      <w:r w:rsidRPr="00392020">
        <w:t xml:space="preserve">Credit Risk Management Policy (CRMP) is the responsibility of the Credit Department, prepared with stakeholder input and recommended by the Management Credit Committee </w:t>
      </w:r>
      <w:r w:rsidR="00551EBF" w:rsidRPr="00392020">
        <w:t xml:space="preserve">(MCC) </w:t>
      </w:r>
      <w:r w:rsidRPr="00392020">
        <w:t xml:space="preserve">for approval by the Board </w:t>
      </w:r>
      <w:r w:rsidR="004F410A" w:rsidRPr="00392020">
        <w:t>(</w:t>
      </w:r>
      <w:r w:rsidRPr="00392020">
        <w:t>Risk</w:t>
      </w:r>
      <w:r w:rsidR="004F410A" w:rsidRPr="00392020">
        <w:t>)</w:t>
      </w:r>
      <w:r w:rsidR="00591393" w:rsidRPr="00392020">
        <w:t xml:space="preserve"> </w:t>
      </w:r>
      <w:r w:rsidRPr="00392020">
        <w:t>Committee</w:t>
      </w:r>
      <w:r w:rsidR="00C54826" w:rsidRPr="00392020">
        <w:t xml:space="preserve"> and the Board of Directors.  </w:t>
      </w:r>
      <w:r w:rsidRPr="00392020">
        <w:t xml:space="preserve">The CRMP </w:t>
      </w:r>
      <w:r w:rsidR="00C65BD5" w:rsidRPr="00392020">
        <w:t xml:space="preserve">requires sound practices for the management of credit risk and </w:t>
      </w:r>
      <w:r w:rsidRPr="00392020">
        <w:t xml:space="preserve">applies to all lending and other </w:t>
      </w:r>
      <w:r w:rsidR="002747D8" w:rsidRPr="00392020">
        <w:rPr>
          <w:color w:val="2E74B5"/>
        </w:rPr>
        <w:fldChar w:fldCharType="begin"/>
      </w:r>
      <w:r w:rsidR="002747D8" w:rsidRPr="00392020">
        <w:rPr>
          <w:color w:val="2E74B5"/>
        </w:rPr>
        <w:instrText xml:space="preserve"> MACROBUTTON  AcceptAllChangesInDoc "CU Short Name" </w:instrText>
      </w:r>
      <w:r w:rsidR="002747D8" w:rsidRPr="00392020">
        <w:rPr>
          <w:color w:val="2E74B5"/>
        </w:rPr>
        <w:fldChar w:fldCharType="end"/>
      </w:r>
      <w:r w:rsidR="00C54826" w:rsidRPr="00392020">
        <w:t xml:space="preserve"> </w:t>
      </w:r>
      <w:r w:rsidRPr="00392020">
        <w:t>activities that incur credit risk</w:t>
      </w:r>
      <w:r w:rsidR="00C65BD5" w:rsidRPr="00392020">
        <w:t>.</w:t>
      </w:r>
      <w:r w:rsidR="00C54826" w:rsidRPr="00392020">
        <w:t xml:space="preserve"> </w:t>
      </w:r>
      <w:r w:rsidR="00C65BD5" w:rsidRPr="00392020">
        <w:t xml:space="preserve">CRMP </w:t>
      </w:r>
      <w:r w:rsidR="00C54826" w:rsidRPr="00392020">
        <w:t>e</w:t>
      </w:r>
      <w:r w:rsidRPr="00392020">
        <w:t>xceptions, where allowed</w:t>
      </w:r>
      <w:r w:rsidR="00C65BD5" w:rsidRPr="00392020">
        <w:t>,</w:t>
      </w:r>
      <w:r w:rsidRPr="00392020">
        <w:t xml:space="preserve"> are subject to </w:t>
      </w:r>
      <w:r w:rsidR="00905FA9" w:rsidRPr="00392020">
        <w:t xml:space="preserve">exception approval guidelines, and </w:t>
      </w:r>
      <w:r w:rsidRPr="00392020">
        <w:t xml:space="preserve">regular reporting, in a time frame related to the </w:t>
      </w:r>
      <w:r w:rsidR="00C54826" w:rsidRPr="00392020">
        <w:t xml:space="preserve">materiality and severity </w:t>
      </w:r>
      <w:r w:rsidRPr="00392020">
        <w:t xml:space="preserve">of the </w:t>
      </w:r>
      <w:r w:rsidR="00905FA9" w:rsidRPr="00392020">
        <w:t>exception</w:t>
      </w:r>
      <w:r w:rsidRPr="00392020">
        <w:t xml:space="preserve">. </w:t>
      </w:r>
    </w:p>
    <w:p w14:paraId="62E4436E" w14:textId="77777777" w:rsidR="00147211" w:rsidRPr="00392020" w:rsidRDefault="00147211" w:rsidP="00CE1B3E">
      <w:pPr>
        <w:spacing w:before="120" w:after="60" w:line="276" w:lineRule="auto"/>
      </w:pPr>
      <w:r w:rsidRPr="00392020">
        <w:t xml:space="preserve">Lending </w:t>
      </w:r>
      <w:r w:rsidR="00E8770D" w:rsidRPr="00392020">
        <w:t xml:space="preserve">requirements </w:t>
      </w:r>
      <w:r w:rsidRPr="00392020">
        <w:t xml:space="preserve">may be </w:t>
      </w:r>
      <w:r w:rsidR="00E8770D" w:rsidRPr="00392020">
        <w:t xml:space="preserve">restricted through other Board Risk Management Policies, including </w:t>
      </w:r>
      <w:r w:rsidR="00A01E0B" w:rsidRPr="00392020">
        <w:t xml:space="preserve">Non-members, </w:t>
      </w:r>
      <w:r w:rsidR="00E8770D" w:rsidRPr="00392020">
        <w:t>Inv</w:t>
      </w:r>
      <w:r w:rsidR="00392020">
        <w:t>estment, Liquidity and Capital.</w:t>
      </w:r>
    </w:p>
    <w:p w14:paraId="69FBD196" w14:textId="77777777" w:rsidR="00026276" w:rsidRPr="00392020" w:rsidRDefault="00026276" w:rsidP="00392020">
      <w:pPr>
        <w:pStyle w:val="Heading1"/>
        <w:spacing w:line="276" w:lineRule="auto"/>
      </w:pPr>
      <w:bookmarkStart w:id="3" w:name="_Toc321901216"/>
      <w:bookmarkStart w:id="4" w:name="_Toc507416319"/>
      <w:r w:rsidRPr="00392020">
        <w:t>Credit Risk Philosophy</w:t>
      </w:r>
      <w:bookmarkEnd w:id="3"/>
      <w:bookmarkEnd w:id="4"/>
    </w:p>
    <w:p w14:paraId="7CA466A4" w14:textId="77777777" w:rsidR="000D0E6E" w:rsidRPr="00392020" w:rsidRDefault="000D0E6E" w:rsidP="00392020">
      <w:pPr>
        <w:spacing w:line="276" w:lineRule="auto"/>
        <w:jc w:val="both"/>
        <w:rPr>
          <w:rFonts w:asciiTheme="minorHAnsi" w:hAnsiTheme="minorHAnsi"/>
          <w:szCs w:val="22"/>
        </w:rPr>
      </w:pPr>
      <w:r w:rsidRPr="00392020">
        <w:rPr>
          <w:rFonts w:asciiTheme="minorHAnsi" w:hAnsiTheme="minorHAnsi"/>
          <w:szCs w:val="22"/>
        </w:rPr>
        <w:t>The Board of Directors has the responsibility to</w:t>
      </w:r>
      <w:r w:rsidR="00FE640E" w:rsidRPr="00392020">
        <w:rPr>
          <w:rFonts w:asciiTheme="minorHAnsi" w:hAnsiTheme="minorHAnsi"/>
          <w:szCs w:val="22"/>
        </w:rPr>
        <w:t xml:space="preserve"> establish an appropriate credit risk philosophy, including credit strategy and </w:t>
      </w:r>
      <w:r w:rsidR="00551EBF" w:rsidRPr="00392020">
        <w:rPr>
          <w:rFonts w:asciiTheme="minorHAnsi" w:hAnsiTheme="minorHAnsi"/>
          <w:szCs w:val="22"/>
        </w:rPr>
        <w:t>risk appetite. Senior M</w:t>
      </w:r>
      <w:r w:rsidR="00FE640E" w:rsidRPr="00392020">
        <w:rPr>
          <w:rFonts w:asciiTheme="minorHAnsi" w:hAnsiTheme="minorHAnsi"/>
          <w:szCs w:val="22"/>
        </w:rPr>
        <w:t>anagement has the responsibility to implement the philosophy, strategy, and appetite, including establishing an appropriate credit risk culture, throughout the organization</w:t>
      </w:r>
      <w:r w:rsidR="00456AFB" w:rsidRPr="00392020">
        <w:rPr>
          <w:rFonts w:asciiTheme="minorHAnsi" w:hAnsiTheme="minorHAnsi"/>
          <w:szCs w:val="22"/>
        </w:rPr>
        <w:t xml:space="preserve">. The Board has approved a conservative risk philosophy, that will encourage realizing opportunities for profit, while minimizing financial and reputational risk. This conservative philosophy is to be applied on an enterprise wide basis, and to be a prime focus of strategic and operational planning, ensuring the continued operations of the credit union, while sustaining brand and shareholder value. </w:t>
      </w:r>
    </w:p>
    <w:p w14:paraId="4A02AB25" w14:textId="77777777" w:rsidR="00026276" w:rsidRPr="00392020" w:rsidRDefault="00026276" w:rsidP="00392020">
      <w:pPr>
        <w:pStyle w:val="Heading2"/>
        <w:spacing w:before="120" w:line="276" w:lineRule="auto"/>
        <w:rPr>
          <w:rFonts w:asciiTheme="minorHAnsi" w:hAnsiTheme="minorHAnsi"/>
          <w:sz w:val="24"/>
          <w:szCs w:val="24"/>
        </w:rPr>
      </w:pPr>
      <w:bookmarkStart w:id="5" w:name="_Toc321901217"/>
      <w:bookmarkStart w:id="6" w:name="_Toc507416320"/>
      <w:r w:rsidRPr="00392020">
        <w:rPr>
          <w:rFonts w:asciiTheme="minorHAnsi" w:hAnsiTheme="minorHAnsi"/>
          <w:sz w:val="24"/>
          <w:szCs w:val="24"/>
        </w:rPr>
        <w:t>Regulatory Requirements</w:t>
      </w:r>
      <w:bookmarkEnd w:id="5"/>
      <w:bookmarkEnd w:id="6"/>
    </w:p>
    <w:p w14:paraId="636C9729" w14:textId="77777777" w:rsidR="00026276" w:rsidRPr="00392020" w:rsidRDefault="00026276" w:rsidP="00392020">
      <w:pPr>
        <w:pStyle w:val="ListParagraph"/>
        <w:spacing w:before="120" w:after="60" w:line="276" w:lineRule="auto"/>
        <w:ind w:left="0"/>
        <w:jc w:val="both"/>
        <w:rPr>
          <w:rFonts w:asciiTheme="minorHAnsi" w:hAnsiTheme="minorHAnsi"/>
        </w:rPr>
      </w:pPr>
      <w:r w:rsidRPr="00392020">
        <w:rPr>
          <w:rFonts w:asciiTheme="minorHAnsi" w:hAnsiTheme="minorHAnsi"/>
        </w:rPr>
        <w:t>The CRMP must incorporate regulatory and legal requirements, includin</w:t>
      </w:r>
      <w:r w:rsidR="00723BBB" w:rsidRPr="00392020">
        <w:rPr>
          <w:rFonts w:asciiTheme="minorHAnsi" w:hAnsiTheme="minorHAnsi"/>
        </w:rPr>
        <w:t>g</w:t>
      </w:r>
      <w:r w:rsidRPr="00392020">
        <w:rPr>
          <w:rFonts w:asciiTheme="minorHAnsi" w:hAnsiTheme="minorHAnsi"/>
        </w:rPr>
        <w:t>:</w:t>
      </w:r>
    </w:p>
    <w:p w14:paraId="57EFEF3D" w14:textId="77777777" w:rsidR="00026276" w:rsidRPr="00392020" w:rsidRDefault="00026276" w:rsidP="00392020">
      <w:pPr>
        <w:pStyle w:val="ListParagraph"/>
        <w:numPr>
          <w:ilvl w:val="0"/>
          <w:numId w:val="2"/>
        </w:numPr>
        <w:spacing w:before="120" w:after="60" w:line="276" w:lineRule="auto"/>
        <w:ind w:left="360" w:hanging="270"/>
        <w:jc w:val="both"/>
        <w:rPr>
          <w:rFonts w:asciiTheme="minorHAnsi" w:hAnsiTheme="minorHAnsi"/>
        </w:rPr>
      </w:pPr>
      <w:r w:rsidRPr="00392020">
        <w:rPr>
          <w:rFonts w:asciiTheme="minorHAnsi" w:hAnsiTheme="minorHAnsi"/>
        </w:rPr>
        <w:t>The Credit Union Act</w:t>
      </w:r>
      <w:r w:rsidR="00C54826" w:rsidRPr="00392020">
        <w:rPr>
          <w:rFonts w:asciiTheme="minorHAnsi" w:hAnsiTheme="minorHAnsi"/>
        </w:rPr>
        <w:t xml:space="preserve"> – </w:t>
      </w:r>
      <w:r w:rsidRPr="00392020">
        <w:rPr>
          <w:rFonts w:asciiTheme="minorHAnsi" w:hAnsiTheme="minorHAnsi"/>
        </w:rPr>
        <w:t>Alberta</w:t>
      </w:r>
      <w:r w:rsidR="00C54826" w:rsidRPr="00392020">
        <w:rPr>
          <w:rFonts w:asciiTheme="minorHAnsi" w:hAnsiTheme="minorHAnsi"/>
        </w:rPr>
        <w:t xml:space="preserve"> </w:t>
      </w:r>
      <w:r w:rsidRPr="00392020">
        <w:rPr>
          <w:rFonts w:asciiTheme="minorHAnsi" w:hAnsiTheme="minorHAnsi"/>
        </w:rPr>
        <w:t>(The Act)</w:t>
      </w:r>
    </w:p>
    <w:p w14:paraId="2AB9CDDB" w14:textId="77777777" w:rsidR="00026276" w:rsidRPr="00392020" w:rsidRDefault="00026276" w:rsidP="00392020">
      <w:pPr>
        <w:pStyle w:val="ListParagraph"/>
        <w:numPr>
          <w:ilvl w:val="0"/>
          <w:numId w:val="2"/>
        </w:numPr>
        <w:spacing w:before="120" w:after="60" w:line="276" w:lineRule="auto"/>
        <w:ind w:left="360" w:hanging="270"/>
        <w:jc w:val="both"/>
        <w:rPr>
          <w:rFonts w:asciiTheme="minorHAnsi" w:hAnsiTheme="minorHAnsi"/>
        </w:rPr>
      </w:pPr>
      <w:r w:rsidRPr="00392020">
        <w:rPr>
          <w:rFonts w:asciiTheme="minorHAnsi" w:hAnsiTheme="minorHAnsi"/>
        </w:rPr>
        <w:t>The Credit Union Principal</w:t>
      </w:r>
      <w:r w:rsidR="00551EBF" w:rsidRPr="00392020">
        <w:rPr>
          <w:rFonts w:asciiTheme="minorHAnsi" w:hAnsiTheme="minorHAnsi"/>
        </w:rPr>
        <w:t xml:space="preserve"> &amp; Ministerial</w:t>
      </w:r>
      <w:r w:rsidRPr="00392020">
        <w:rPr>
          <w:rFonts w:asciiTheme="minorHAnsi" w:hAnsiTheme="minorHAnsi"/>
        </w:rPr>
        <w:t xml:space="preserve"> Regulation</w:t>
      </w:r>
      <w:r w:rsidR="00551EBF" w:rsidRPr="00392020">
        <w:rPr>
          <w:rFonts w:asciiTheme="minorHAnsi" w:hAnsiTheme="minorHAnsi"/>
        </w:rPr>
        <w:t>s</w:t>
      </w:r>
      <w:r w:rsidRPr="00392020">
        <w:rPr>
          <w:rFonts w:asciiTheme="minorHAnsi" w:hAnsiTheme="minorHAnsi"/>
        </w:rPr>
        <w:t xml:space="preserve"> (The Regulations)</w:t>
      </w:r>
    </w:p>
    <w:p w14:paraId="351B041B" w14:textId="77777777" w:rsidR="00026276" w:rsidRPr="00392020" w:rsidRDefault="00026276" w:rsidP="00392020">
      <w:pPr>
        <w:pStyle w:val="ListParagraph"/>
        <w:numPr>
          <w:ilvl w:val="0"/>
          <w:numId w:val="2"/>
        </w:numPr>
        <w:spacing w:before="120" w:after="60" w:line="276" w:lineRule="auto"/>
        <w:ind w:left="360" w:hanging="270"/>
        <w:jc w:val="both"/>
        <w:rPr>
          <w:rFonts w:asciiTheme="minorHAnsi" w:hAnsiTheme="minorHAnsi"/>
        </w:rPr>
      </w:pPr>
      <w:r w:rsidRPr="00392020">
        <w:rPr>
          <w:rFonts w:asciiTheme="minorHAnsi" w:hAnsiTheme="minorHAnsi"/>
        </w:rPr>
        <w:t>Laws of the Province of Alberta and Government of Canada, as applicable, including Privacy, Anti-Money Laundering and Terrorist Financing, etc.</w:t>
      </w:r>
    </w:p>
    <w:p w14:paraId="68794677" w14:textId="77777777" w:rsidR="00026276" w:rsidRPr="00392020" w:rsidRDefault="00026276" w:rsidP="00392020">
      <w:pPr>
        <w:pStyle w:val="Heading2"/>
        <w:spacing w:before="120" w:line="276" w:lineRule="auto"/>
        <w:rPr>
          <w:rFonts w:asciiTheme="minorHAnsi" w:hAnsiTheme="minorHAnsi"/>
          <w:sz w:val="24"/>
          <w:szCs w:val="24"/>
        </w:rPr>
      </w:pPr>
      <w:bookmarkStart w:id="7" w:name="_Toc321901218"/>
      <w:bookmarkStart w:id="8" w:name="_Toc507416321"/>
      <w:r w:rsidRPr="00392020">
        <w:rPr>
          <w:rFonts w:asciiTheme="minorHAnsi" w:hAnsiTheme="minorHAnsi"/>
          <w:sz w:val="24"/>
          <w:szCs w:val="24"/>
        </w:rPr>
        <w:t>Industry Best Practice</w:t>
      </w:r>
      <w:bookmarkEnd w:id="7"/>
      <w:bookmarkEnd w:id="8"/>
    </w:p>
    <w:p w14:paraId="0F912816" w14:textId="77777777" w:rsidR="00A01E0B" w:rsidRPr="00B40ECE" w:rsidRDefault="00A01E0B" w:rsidP="00B40ECE">
      <w:pPr>
        <w:pStyle w:val="ListParagraph"/>
        <w:spacing w:before="120" w:after="60" w:line="276" w:lineRule="auto"/>
        <w:ind w:left="0"/>
        <w:contextualSpacing w:val="0"/>
        <w:jc w:val="both"/>
        <w:rPr>
          <w:rFonts w:asciiTheme="minorHAnsi" w:hAnsiTheme="minorHAnsi"/>
        </w:rPr>
      </w:pPr>
      <w:r w:rsidRPr="00B40ECE">
        <w:rPr>
          <w:rFonts w:asciiTheme="minorHAnsi" w:hAnsiTheme="minorHAnsi"/>
        </w:rPr>
        <w:t xml:space="preserve">The CRMP must be </w:t>
      </w:r>
      <w:r w:rsidR="00147968" w:rsidRPr="00B40ECE">
        <w:rPr>
          <w:rFonts w:asciiTheme="minorHAnsi" w:hAnsiTheme="minorHAnsi"/>
        </w:rPr>
        <w:t xml:space="preserve">materially </w:t>
      </w:r>
      <w:r w:rsidRPr="00B40ECE">
        <w:rPr>
          <w:rFonts w:asciiTheme="minorHAnsi" w:hAnsiTheme="minorHAnsi"/>
        </w:rPr>
        <w:t>consistent with Credit Unio</w:t>
      </w:r>
      <w:r w:rsidR="00B40ECE">
        <w:rPr>
          <w:rFonts w:asciiTheme="minorHAnsi" w:hAnsiTheme="minorHAnsi"/>
        </w:rPr>
        <w:t>n Deposit Guarantee Corporation</w:t>
      </w:r>
      <w:r w:rsidRPr="00B40ECE">
        <w:rPr>
          <w:rFonts w:asciiTheme="minorHAnsi" w:hAnsiTheme="minorHAnsi"/>
        </w:rPr>
        <w:t xml:space="preserve"> (</w:t>
      </w:r>
      <w:r w:rsidR="001F523F" w:rsidRPr="00B40ECE">
        <w:rPr>
          <w:rFonts w:asciiTheme="minorHAnsi" w:hAnsiTheme="minorHAnsi"/>
        </w:rPr>
        <w:t>C</w:t>
      </w:r>
      <w:r w:rsidR="00EC27F9" w:rsidRPr="00B40ECE">
        <w:rPr>
          <w:rFonts w:asciiTheme="minorHAnsi" w:hAnsiTheme="minorHAnsi"/>
        </w:rPr>
        <w:t>UDGC</w:t>
      </w:r>
      <w:r w:rsidRPr="00B40ECE">
        <w:rPr>
          <w:rFonts w:asciiTheme="minorHAnsi" w:hAnsiTheme="minorHAnsi"/>
        </w:rPr>
        <w:t>) Lending Guidelines</w:t>
      </w:r>
      <w:r w:rsidR="00EE4429" w:rsidRPr="00B40ECE">
        <w:rPr>
          <w:rFonts w:asciiTheme="minorHAnsi" w:hAnsiTheme="minorHAnsi"/>
        </w:rPr>
        <w:t>, Guidance</w:t>
      </w:r>
      <w:r w:rsidRPr="00B40ECE">
        <w:rPr>
          <w:rFonts w:asciiTheme="minorHAnsi" w:hAnsiTheme="minorHAnsi"/>
        </w:rPr>
        <w:t xml:space="preserve"> and Standards of Sound Business and Financial Practices</w:t>
      </w:r>
      <w:r w:rsidR="00EE4429" w:rsidRPr="00B40ECE">
        <w:rPr>
          <w:rFonts w:asciiTheme="minorHAnsi" w:hAnsiTheme="minorHAnsi"/>
        </w:rPr>
        <w:t xml:space="preserve">, which reflect </w:t>
      </w:r>
      <w:r w:rsidR="000705D5" w:rsidRPr="00B40ECE">
        <w:rPr>
          <w:rFonts w:asciiTheme="minorHAnsi" w:hAnsiTheme="minorHAnsi"/>
        </w:rPr>
        <w:t>Industry best practice/standards</w:t>
      </w:r>
      <w:r w:rsidRPr="00B40ECE">
        <w:rPr>
          <w:rFonts w:asciiTheme="minorHAnsi" w:hAnsiTheme="minorHAnsi"/>
        </w:rPr>
        <w:t>;</w:t>
      </w:r>
    </w:p>
    <w:p w14:paraId="4EBB9A33" w14:textId="77777777" w:rsidR="00026276" w:rsidRPr="00B40ECE" w:rsidRDefault="00026276" w:rsidP="00B40ECE">
      <w:pPr>
        <w:pStyle w:val="ListParagraph"/>
        <w:spacing w:before="120" w:after="60" w:line="276" w:lineRule="auto"/>
        <w:ind w:left="0"/>
        <w:contextualSpacing w:val="0"/>
        <w:jc w:val="both"/>
        <w:rPr>
          <w:rFonts w:asciiTheme="minorHAnsi" w:hAnsiTheme="minorHAnsi"/>
        </w:rPr>
      </w:pPr>
      <w:r w:rsidRPr="00B40ECE">
        <w:rPr>
          <w:rFonts w:asciiTheme="minorHAnsi" w:hAnsiTheme="minorHAnsi"/>
        </w:rPr>
        <w:t xml:space="preserve">The CRMP will incorporate </w:t>
      </w:r>
      <w:r w:rsidR="000705D5" w:rsidRPr="00B40ECE">
        <w:rPr>
          <w:rFonts w:asciiTheme="minorHAnsi" w:hAnsiTheme="minorHAnsi"/>
        </w:rPr>
        <w:t xml:space="preserve">other </w:t>
      </w:r>
      <w:r w:rsidR="006A751B" w:rsidRPr="00B40ECE">
        <w:rPr>
          <w:rFonts w:asciiTheme="minorHAnsi" w:hAnsiTheme="minorHAnsi"/>
        </w:rPr>
        <w:t>i</w:t>
      </w:r>
      <w:r w:rsidRPr="00B40ECE">
        <w:rPr>
          <w:rFonts w:asciiTheme="minorHAnsi" w:hAnsiTheme="minorHAnsi"/>
        </w:rPr>
        <w:t xml:space="preserve">ndustry </w:t>
      </w:r>
      <w:r w:rsidR="006A751B" w:rsidRPr="00B40ECE">
        <w:rPr>
          <w:rFonts w:asciiTheme="minorHAnsi" w:hAnsiTheme="minorHAnsi"/>
        </w:rPr>
        <w:t>b</w:t>
      </w:r>
      <w:r w:rsidRPr="00B40ECE">
        <w:rPr>
          <w:rFonts w:asciiTheme="minorHAnsi" w:hAnsiTheme="minorHAnsi"/>
        </w:rPr>
        <w:t xml:space="preserve">est </w:t>
      </w:r>
      <w:r w:rsidR="006A751B" w:rsidRPr="00B40ECE">
        <w:rPr>
          <w:rFonts w:asciiTheme="minorHAnsi" w:hAnsiTheme="minorHAnsi"/>
        </w:rPr>
        <w:t>p</w:t>
      </w:r>
      <w:r w:rsidRPr="00B40ECE">
        <w:rPr>
          <w:rFonts w:asciiTheme="minorHAnsi" w:hAnsiTheme="minorHAnsi"/>
        </w:rPr>
        <w:t xml:space="preserve">ractice, where appropriate, </w:t>
      </w:r>
      <w:r w:rsidR="009D0068" w:rsidRPr="00B40ECE">
        <w:rPr>
          <w:rFonts w:asciiTheme="minorHAnsi" w:hAnsiTheme="minorHAnsi"/>
        </w:rPr>
        <w:t xml:space="preserve">such as </w:t>
      </w:r>
      <w:r w:rsidRPr="00B40ECE">
        <w:rPr>
          <w:rFonts w:asciiTheme="minorHAnsi" w:hAnsiTheme="minorHAnsi"/>
        </w:rPr>
        <w:t>credit risk management principl</w:t>
      </w:r>
      <w:r w:rsidR="00D30E09" w:rsidRPr="00B40ECE">
        <w:rPr>
          <w:rFonts w:asciiTheme="minorHAnsi" w:hAnsiTheme="minorHAnsi"/>
        </w:rPr>
        <w:t>e</w:t>
      </w:r>
      <w:r w:rsidRPr="00B40ECE">
        <w:rPr>
          <w:rFonts w:asciiTheme="minorHAnsi" w:hAnsiTheme="minorHAnsi"/>
        </w:rPr>
        <w:t>s outlined by The Office of Superintendent of Financial Institutions Canada (OSFI)</w:t>
      </w:r>
      <w:r w:rsidR="00C54826" w:rsidRPr="00B40ECE">
        <w:rPr>
          <w:rFonts w:asciiTheme="minorHAnsi" w:hAnsiTheme="minorHAnsi"/>
        </w:rPr>
        <w:t xml:space="preserve">, </w:t>
      </w:r>
      <w:r w:rsidR="00F56C98" w:rsidRPr="00B40ECE">
        <w:rPr>
          <w:rFonts w:asciiTheme="minorHAnsi" w:hAnsiTheme="minorHAnsi"/>
        </w:rPr>
        <w:t xml:space="preserve">and </w:t>
      </w:r>
      <w:r w:rsidR="00C54826" w:rsidRPr="00B40ECE">
        <w:rPr>
          <w:rFonts w:asciiTheme="minorHAnsi" w:hAnsiTheme="minorHAnsi"/>
        </w:rPr>
        <w:t>Principles for the Management of Credit Risk outlined by T</w:t>
      </w:r>
      <w:r w:rsidRPr="00B40ECE">
        <w:rPr>
          <w:rFonts w:asciiTheme="minorHAnsi" w:hAnsiTheme="minorHAnsi"/>
        </w:rPr>
        <w:t>he Bank for International Settlements</w:t>
      </w:r>
      <w:r w:rsidR="00F56C98" w:rsidRPr="00B40ECE">
        <w:rPr>
          <w:rFonts w:asciiTheme="minorHAnsi" w:hAnsiTheme="minorHAnsi"/>
        </w:rPr>
        <w:t xml:space="preserve">, </w:t>
      </w:r>
      <w:r w:rsidRPr="00B40ECE">
        <w:rPr>
          <w:rFonts w:asciiTheme="minorHAnsi" w:hAnsiTheme="minorHAnsi"/>
          <w:lang w:val="en"/>
        </w:rPr>
        <w:t>Basel Committee on Banking Supervision (Basel).</w:t>
      </w:r>
    </w:p>
    <w:p w14:paraId="0E1777F0" w14:textId="77777777" w:rsidR="00026276" w:rsidRPr="00392020" w:rsidRDefault="00026276" w:rsidP="00392020">
      <w:pPr>
        <w:pStyle w:val="Heading1"/>
        <w:spacing w:line="276" w:lineRule="auto"/>
      </w:pPr>
      <w:bookmarkStart w:id="9" w:name="_Toc321901219"/>
      <w:bookmarkStart w:id="10" w:name="_Toc507416322"/>
      <w:r w:rsidRPr="00392020">
        <w:lastRenderedPageBreak/>
        <w:t>Credit Risk Appetite</w:t>
      </w:r>
      <w:bookmarkEnd w:id="9"/>
      <w:bookmarkEnd w:id="10"/>
    </w:p>
    <w:p w14:paraId="3560EAC2" w14:textId="77777777" w:rsidR="00026276" w:rsidRPr="00B40ECE" w:rsidRDefault="00F56C98" w:rsidP="00B40ECE">
      <w:pPr>
        <w:pStyle w:val="ListParagraph"/>
        <w:tabs>
          <w:tab w:val="left" w:pos="8475"/>
        </w:tabs>
        <w:spacing w:before="120" w:after="60" w:line="276" w:lineRule="auto"/>
        <w:ind w:left="0"/>
        <w:jc w:val="both"/>
        <w:rPr>
          <w:rFonts w:asciiTheme="minorHAnsi" w:hAnsiTheme="minorHAnsi"/>
        </w:rPr>
      </w:pPr>
      <w:r w:rsidRPr="00B40ECE">
        <w:rPr>
          <w:rFonts w:asciiTheme="minorHAnsi" w:hAnsiTheme="minorHAnsi"/>
        </w:rPr>
        <w:t>The Board of Directors has approved a c</w:t>
      </w:r>
      <w:r w:rsidR="00026276" w:rsidRPr="00B40ECE">
        <w:rPr>
          <w:rFonts w:asciiTheme="minorHAnsi" w:hAnsiTheme="minorHAnsi"/>
        </w:rPr>
        <w:t>onservative and balan</w:t>
      </w:r>
      <w:r w:rsidR="00B40ECE" w:rsidRPr="00B40ECE">
        <w:rPr>
          <w:rFonts w:asciiTheme="minorHAnsi" w:hAnsiTheme="minorHAnsi"/>
        </w:rPr>
        <w:t>ced risk philosophy to include:</w:t>
      </w:r>
    </w:p>
    <w:p w14:paraId="621AF3A2" w14:textId="77777777" w:rsidR="00026276" w:rsidRPr="00B40ECE" w:rsidRDefault="00BD3959"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rPr>
        <w:t xml:space="preserve">Approval </w:t>
      </w:r>
      <w:r w:rsidR="000705D5" w:rsidRPr="00B40ECE">
        <w:rPr>
          <w:rFonts w:asciiTheme="minorHAnsi" w:hAnsiTheme="minorHAnsi"/>
        </w:rPr>
        <w:t xml:space="preserve">and annual review </w:t>
      </w:r>
      <w:r w:rsidRPr="00B40ECE">
        <w:rPr>
          <w:rFonts w:asciiTheme="minorHAnsi" w:hAnsiTheme="minorHAnsi"/>
        </w:rPr>
        <w:t xml:space="preserve">of </w:t>
      </w:r>
      <w:r w:rsidR="00026276" w:rsidRPr="00B40ECE">
        <w:rPr>
          <w:rFonts w:asciiTheme="minorHAnsi" w:hAnsiTheme="minorHAnsi"/>
        </w:rPr>
        <w:t xml:space="preserve">prudent lending </w:t>
      </w:r>
      <w:r w:rsidR="00C019B3" w:rsidRPr="00B40ECE">
        <w:rPr>
          <w:rFonts w:asciiTheme="minorHAnsi" w:hAnsiTheme="minorHAnsi"/>
        </w:rPr>
        <w:t xml:space="preserve">risk </w:t>
      </w:r>
      <w:r w:rsidR="00026276" w:rsidRPr="00B40ECE">
        <w:rPr>
          <w:rFonts w:asciiTheme="minorHAnsi" w:hAnsiTheme="minorHAnsi"/>
        </w:rPr>
        <w:t>policies</w:t>
      </w:r>
      <w:r w:rsidR="00C019B3" w:rsidRPr="00B40ECE">
        <w:rPr>
          <w:rFonts w:asciiTheme="minorHAnsi" w:hAnsiTheme="minorHAnsi"/>
        </w:rPr>
        <w:t>,</w:t>
      </w:r>
      <w:r w:rsidRPr="00B40ECE">
        <w:rPr>
          <w:rFonts w:asciiTheme="minorHAnsi" w:hAnsiTheme="minorHAnsi"/>
        </w:rPr>
        <w:t xml:space="preserve"> supporting safety and soundness of the credit union</w:t>
      </w:r>
      <w:r w:rsidR="00B40ECE">
        <w:rPr>
          <w:rFonts w:asciiTheme="minorHAnsi" w:hAnsiTheme="minorHAnsi"/>
        </w:rPr>
        <w:t>.</w:t>
      </w:r>
    </w:p>
    <w:p w14:paraId="3F0181EA" w14:textId="77777777" w:rsidR="00026276" w:rsidRPr="00B40ECE" w:rsidRDefault="00BD3959"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rPr>
        <w:t xml:space="preserve">Management implementation of effective </w:t>
      </w:r>
      <w:r w:rsidR="00C019B3" w:rsidRPr="00B40ECE">
        <w:rPr>
          <w:rFonts w:asciiTheme="minorHAnsi" w:hAnsiTheme="minorHAnsi"/>
        </w:rPr>
        <w:t xml:space="preserve">lending </w:t>
      </w:r>
      <w:r w:rsidRPr="00B40ECE">
        <w:rPr>
          <w:rFonts w:asciiTheme="minorHAnsi" w:hAnsiTheme="minorHAnsi"/>
        </w:rPr>
        <w:t>operating policies, and procedures</w:t>
      </w:r>
      <w:r w:rsidR="00026276" w:rsidRPr="00B40ECE">
        <w:rPr>
          <w:rFonts w:asciiTheme="minorHAnsi" w:hAnsiTheme="minorHAnsi"/>
        </w:rPr>
        <w:t>, including appropriate internal controls, for monitoring and reporting on compliance and non-compliance</w:t>
      </w:r>
      <w:r w:rsidRPr="00B40ECE">
        <w:rPr>
          <w:rFonts w:asciiTheme="minorHAnsi" w:hAnsiTheme="minorHAnsi"/>
        </w:rPr>
        <w:t xml:space="preserve"> with Board </w:t>
      </w:r>
      <w:r w:rsidR="00C019B3" w:rsidRPr="00B40ECE">
        <w:rPr>
          <w:rFonts w:asciiTheme="minorHAnsi" w:hAnsiTheme="minorHAnsi"/>
        </w:rPr>
        <w:t>risk</w:t>
      </w:r>
      <w:r w:rsidRPr="00B40ECE">
        <w:rPr>
          <w:rFonts w:asciiTheme="minorHAnsi" w:hAnsiTheme="minorHAnsi"/>
        </w:rPr>
        <w:t xml:space="preserve"> policies</w:t>
      </w:r>
      <w:r w:rsidR="00B40ECE">
        <w:rPr>
          <w:rFonts w:asciiTheme="minorHAnsi" w:hAnsiTheme="minorHAnsi"/>
        </w:rPr>
        <w:t>.</w:t>
      </w:r>
    </w:p>
    <w:p w14:paraId="37E1D5B6" w14:textId="77777777" w:rsidR="00026276" w:rsidRPr="00B40ECE" w:rsidRDefault="00026276"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rPr>
        <w:t xml:space="preserve">Development and adherence to Board approved concentration </w:t>
      </w:r>
      <w:r w:rsidR="00DA4951" w:rsidRPr="00B40ECE">
        <w:rPr>
          <w:rFonts w:asciiTheme="minorHAnsi" w:hAnsiTheme="minorHAnsi"/>
        </w:rPr>
        <w:t>limits</w:t>
      </w:r>
      <w:r w:rsidR="00C019B3" w:rsidRPr="00B40ECE">
        <w:rPr>
          <w:rFonts w:asciiTheme="minorHAnsi" w:hAnsiTheme="minorHAnsi"/>
        </w:rPr>
        <w:t xml:space="preserve">, </w:t>
      </w:r>
      <w:r w:rsidR="00905FA9" w:rsidRPr="00B40ECE">
        <w:rPr>
          <w:rFonts w:asciiTheme="minorHAnsi" w:hAnsiTheme="minorHAnsi"/>
        </w:rPr>
        <w:t>credit key risk indicators (K</w:t>
      </w:r>
      <w:r w:rsidR="00105E95" w:rsidRPr="00B40ECE">
        <w:rPr>
          <w:rFonts w:asciiTheme="minorHAnsi" w:hAnsiTheme="minorHAnsi"/>
        </w:rPr>
        <w:t>R</w:t>
      </w:r>
      <w:r w:rsidR="00905FA9" w:rsidRPr="00B40ECE">
        <w:rPr>
          <w:rFonts w:asciiTheme="minorHAnsi" w:hAnsiTheme="minorHAnsi"/>
        </w:rPr>
        <w:t>I)</w:t>
      </w:r>
      <w:r w:rsidR="00C019B3" w:rsidRPr="00B40ECE">
        <w:rPr>
          <w:rFonts w:asciiTheme="minorHAnsi" w:hAnsiTheme="minorHAnsi"/>
        </w:rPr>
        <w:t xml:space="preserve"> and credit key performance indicators (KPI)</w:t>
      </w:r>
      <w:r w:rsidR="00B40ECE">
        <w:rPr>
          <w:rFonts w:asciiTheme="minorHAnsi" w:hAnsiTheme="minorHAnsi"/>
        </w:rPr>
        <w:t>.</w:t>
      </w:r>
    </w:p>
    <w:p w14:paraId="6DD06993" w14:textId="77777777" w:rsidR="00026276" w:rsidRPr="00B40ECE" w:rsidRDefault="00E32F51"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rPr>
        <w:t xml:space="preserve">Annual or multi-year business plans and business objectives, such as loan growth, are to be consistent with the </w:t>
      </w:r>
      <w:r w:rsidR="00DA4951" w:rsidRPr="00B40ECE">
        <w:rPr>
          <w:rFonts w:asciiTheme="minorHAnsi" w:hAnsiTheme="minorHAnsi"/>
        </w:rPr>
        <w:t>CRMP</w:t>
      </w:r>
      <w:r w:rsidRPr="00B40ECE">
        <w:rPr>
          <w:rFonts w:asciiTheme="minorHAnsi" w:hAnsiTheme="minorHAnsi"/>
        </w:rPr>
        <w:t>, including risk st</w:t>
      </w:r>
      <w:r w:rsidR="00B40ECE">
        <w:rPr>
          <w:rFonts w:asciiTheme="minorHAnsi" w:hAnsiTheme="minorHAnsi"/>
        </w:rPr>
        <w:t>rategy and risk appetite.</w:t>
      </w:r>
    </w:p>
    <w:p w14:paraId="6F6F3106" w14:textId="77777777" w:rsidR="00026276" w:rsidRPr="00B40ECE" w:rsidRDefault="004D57BD"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color w:val="2E74B5"/>
        </w:rPr>
        <w:fldChar w:fldCharType="begin"/>
      </w:r>
      <w:r w:rsidRPr="00B40ECE">
        <w:rPr>
          <w:rFonts w:asciiTheme="minorHAnsi" w:hAnsiTheme="minorHAnsi"/>
          <w:color w:val="2E74B5"/>
        </w:rPr>
        <w:instrText xml:space="preserve"> MACROBUTTON  AcceptAllChangesInDoc "Credit Union Name" </w:instrText>
      </w:r>
      <w:r w:rsidRPr="00B40ECE">
        <w:rPr>
          <w:rFonts w:asciiTheme="minorHAnsi" w:hAnsiTheme="minorHAnsi"/>
          <w:color w:val="2E74B5"/>
        </w:rPr>
        <w:fldChar w:fldCharType="end"/>
      </w:r>
      <w:r w:rsidR="00026276" w:rsidRPr="00B40ECE">
        <w:rPr>
          <w:rFonts w:asciiTheme="minorHAnsi" w:hAnsiTheme="minorHAnsi"/>
        </w:rPr>
        <w:t xml:space="preserve"> will only participa</w:t>
      </w:r>
      <w:r w:rsidR="00905FA9" w:rsidRPr="00B40ECE">
        <w:rPr>
          <w:rFonts w:asciiTheme="minorHAnsi" w:hAnsiTheme="minorHAnsi"/>
        </w:rPr>
        <w:t>te in lending situations where sales and c</w:t>
      </w:r>
      <w:r w:rsidR="00026276" w:rsidRPr="00B40ECE">
        <w:rPr>
          <w:rFonts w:asciiTheme="minorHAnsi" w:hAnsiTheme="minorHAnsi"/>
        </w:rPr>
        <w:t xml:space="preserve">redit </w:t>
      </w:r>
      <w:r w:rsidR="00905FA9" w:rsidRPr="00B40ECE">
        <w:rPr>
          <w:rFonts w:asciiTheme="minorHAnsi" w:hAnsiTheme="minorHAnsi"/>
        </w:rPr>
        <w:t>m</w:t>
      </w:r>
      <w:r w:rsidR="00026276" w:rsidRPr="00B40ECE">
        <w:rPr>
          <w:rFonts w:asciiTheme="minorHAnsi" w:hAnsiTheme="minorHAnsi"/>
        </w:rPr>
        <w:t>anagement have developed an appropriate level of knowledge and skills to assess and monitor the particu</w:t>
      </w:r>
      <w:r w:rsidR="00B40ECE">
        <w:rPr>
          <w:rFonts w:asciiTheme="minorHAnsi" w:hAnsiTheme="minorHAnsi"/>
        </w:rPr>
        <w:t>lar risk.</w:t>
      </w:r>
    </w:p>
    <w:p w14:paraId="17B8A081" w14:textId="77777777" w:rsidR="00E32F51" w:rsidRPr="00B40ECE" w:rsidRDefault="002747D8"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color w:val="2E74B5"/>
        </w:rPr>
        <w:fldChar w:fldCharType="begin"/>
      </w:r>
      <w:r w:rsidRPr="00B40ECE">
        <w:rPr>
          <w:rFonts w:asciiTheme="minorHAnsi" w:hAnsiTheme="minorHAnsi"/>
          <w:color w:val="2E74B5"/>
        </w:rPr>
        <w:instrText xml:space="preserve"> MACROBUTTON  AcceptAllChangesInDoc "CU Short Name" </w:instrText>
      </w:r>
      <w:r w:rsidRPr="00B40ECE">
        <w:rPr>
          <w:rFonts w:asciiTheme="minorHAnsi" w:hAnsiTheme="minorHAnsi"/>
          <w:color w:val="2E74B5"/>
        </w:rPr>
        <w:fldChar w:fldCharType="end"/>
      </w:r>
      <w:r w:rsidR="006E3C5C" w:rsidRPr="00B40ECE">
        <w:rPr>
          <w:rFonts w:asciiTheme="minorHAnsi" w:hAnsiTheme="minorHAnsi"/>
        </w:rPr>
        <w:t xml:space="preserve"> Credit D</w:t>
      </w:r>
      <w:r w:rsidR="00E32F51" w:rsidRPr="00B40ECE">
        <w:rPr>
          <w:rFonts w:asciiTheme="minorHAnsi" w:hAnsiTheme="minorHAnsi"/>
        </w:rPr>
        <w:t xml:space="preserve">epartment will review and approve credit risk embedded in new products, </w:t>
      </w:r>
      <w:r w:rsidR="00551EBF" w:rsidRPr="00B40ECE">
        <w:rPr>
          <w:rFonts w:asciiTheme="minorHAnsi" w:hAnsiTheme="minorHAnsi"/>
        </w:rPr>
        <w:t>and</w:t>
      </w:r>
      <w:r w:rsidR="00E32F51" w:rsidRPr="00B40ECE">
        <w:rPr>
          <w:rFonts w:asciiTheme="minorHAnsi" w:hAnsiTheme="minorHAnsi"/>
        </w:rPr>
        <w:t xml:space="preserve"> may </w:t>
      </w:r>
      <w:r w:rsidR="006E3C5C" w:rsidRPr="00B40ECE">
        <w:rPr>
          <w:rFonts w:asciiTheme="minorHAnsi" w:hAnsiTheme="minorHAnsi"/>
        </w:rPr>
        <w:t>implement product</w:t>
      </w:r>
      <w:r w:rsidR="00E32F51" w:rsidRPr="00B40ECE">
        <w:rPr>
          <w:rFonts w:asciiTheme="minorHAnsi" w:hAnsiTheme="minorHAnsi"/>
        </w:rPr>
        <w:t xml:space="preserve"> concentration limits</w:t>
      </w:r>
      <w:r w:rsidR="00F90CF3" w:rsidRPr="00B40ECE">
        <w:rPr>
          <w:rFonts w:asciiTheme="minorHAnsi" w:hAnsiTheme="minorHAnsi"/>
        </w:rPr>
        <w:t>, monitoring and reporting</w:t>
      </w:r>
      <w:r w:rsidR="00B40ECE">
        <w:rPr>
          <w:rFonts w:asciiTheme="minorHAnsi" w:hAnsiTheme="minorHAnsi"/>
        </w:rPr>
        <w:t>.</w:t>
      </w:r>
    </w:p>
    <w:p w14:paraId="20F228F1" w14:textId="77777777" w:rsidR="00E32F51" w:rsidRPr="00B40ECE" w:rsidRDefault="00026276"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rPr>
        <w:t xml:space="preserve">Delinquent loans </w:t>
      </w:r>
      <w:r w:rsidR="00551EBF" w:rsidRPr="00B40ECE">
        <w:rPr>
          <w:rFonts w:asciiTheme="minorHAnsi" w:hAnsiTheme="minorHAnsi"/>
        </w:rPr>
        <w:t>60-days and higher</w:t>
      </w:r>
      <w:r w:rsidR="006E3C5C" w:rsidRPr="00B40ECE">
        <w:rPr>
          <w:rFonts w:asciiTheme="minorHAnsi" w:hAnsiTheme="minorHAnsi"/>
        </w:rPr>
        <w:t>,</w:t>
      </w:r>
      <w:r w:rsidR="00551EBF" w:rsidRPr="00B40ECE">
        <w:rPr>
          <w:rFonts w:asciiTheme="minorHAnsi" w:hAnsiTheme="minorHAnsi"/>
        </w:rPr>
        <w:t xml:space="preserve"> </w:t>
      </w:r>
      <w:r w:rsidRPr="00B40ECE">
        <w:rPr>
          <w:rFonts w:asciiTheme="minorHAnsi" w:hAnsiTheme="minorHAnsi"/>
        </w:rPr>
        <w:t xml:space="preserve">are to be contained within a range of </w:t>
      </w:r>
      <w:r w:rsidR="00E32F51" w:rsidRPr="00B40ECE">
        <w:rPr>
          <w:rFonts w:asciiTheme="minorHAnsi" w:hAnsiTheme="minorHAnsi"/>
        </w:rPr>
        <w:t xml:space="preserve"> </w:t>
      </w:r>
      <w:r w:rsidR="004D57BD" w:rsidRPr="00B40ECE">
        <w:rPr>
          <w:rFonts w:asciiTheme="minorHAnsi" w:hAnsiTheme="minorHAnsi"/>
          <w:u w:val="single"/>
        </w:rPr>
        <w:fldChar w:fldCharType="begin"/>
      </w:r>
      <w:r w:rsidR="004D57BD" w:rsidRPr="00B40ECE">
        <w:rPr>
          <w:rFonts w:asciiTheme="minorHAnsi" w:hAnsiTheme="minorHAnsi"/>
          <w:u w:val="single"/>
        </w:rPr>
        <w:instrText xml:space="preserve"> MACROBUTTON  AcceptAllChangesInDoc # </w:instrText>
      </w:r>
      <w:r w:rsidR="004D57BD" w:rsidRPr="00B40ECE">
        <w:rPr>
          <w:rFonts w:asciiTheme="minorHAnsi" w:hAnsiTheme="minorHAnsi"/>
          <w:u w:val="single"/>
        </w:rPr>
        <w:fldChar w:fldCharType="end"/>
      </w:r>
      <w:r w:rsidRPr="00B40ECE">
        <w:rPr>
          <w:rFonts w:asciiTheme="minorHAnsi" w:hAnsiTheme="minorHAnsi"/>
        </w:rPr>
        <w:t xml:space="preserve">% to </w:t>
      </w:r>
      <w:r w:rsidR="004D57BD" w:rsidRPr="00B40ECE">
        <w:rPr>
          <w:rFonts w:asciiTheme="minorHAnsi" w:hAnsiTheme="minorHAnsi"/>
          <w:u w:val="single"/>
        </w:rPr>
        <w:fldChar w:fldCharType="begin"/>
      </w:r>
      <w:r w:rsidR="004D57BD" w:rsidRPr="00B40ECE">
        <w:rPr>
          <w:rFonts w:asciiTheme="minorHAnsi" w:hAnsiTheme="minorHAnsi"/>
          <w:u w:val="single"/>
        </w:rPr>
        <w:instrText xml:space="preserve"> MACROBUTTON  AcceptAllChangesInDoc # </w:instrText>
      </w:r>
      <w:r w:rsidR="004D57BD" w:rsidRPr="00B40ECE">
        <w:rPr>
          <w:rFonts w:asciiTheme="minorHAnsi" w:hAnsiTheme="minorHAnsi"/>
          <w:u w:val="single"/>
        </w:rPr>
        <w:fldChar w:fldCharType="end"/>
      </w:r>
      <w:r w:rsidRPr="00B40ECE">
        <w:rPr>
          <w:rFonts w:asciiTheme="minorHAnsi" w:hAnsiTheme="minorHAnsi"/>
        </w:rPr>
        <w:t>% of total loans</w:t>
      </w:r>
      <w:r w:rsidR="00B40ECE">
        <w:rPr>
          <w:rFonts w:asciiTheme="minorHAnsi" w:hAnsiTheme="minorHAnsi"/>
        </w:rPr>
        <w:t>.</w:t>
      </w:r>
    </w:p>
    <w:p w14:paraId="0519623F" w14:textId="77777777" w:rsidR="00E32F51" w:rsidRPr="00B40ECE" w:rsidRDefault="00026276"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rPr>
        <w:t xml:space="preserve">Impaired loans are to be contained within a range of </w:t>
      </w:r>
      <w:r w:rsidR="00E32F51" w:rsidRPr="00B40ECE">
        <w:rPr>
          <w:rFonts w:asciiTheme="minorHAnsi" w:hAnsiTheme="minorHAnsi"/>
        </w:rPr>
        <w:t xml:space="preserve"> </w:t>
      </w:r>
      <w:r w:rsidR="004D57BD" w:rsidRPr="00B40ECE">
        <w:rPr>
          <w:rFonts w:asciiTheme="minorHAnsi" w:hAnsiTheme="minorHAnsi"/>
          <w:color w:val="2E74B5"/>
          <w:u w:val="single"/>
        </w:rPr>
        <w:fldChar w:fldCharType="begin"/>
      </w:r>
      <w:r w:rsidR="004D57BD" w:rsidRPr="00B40ECE">
        <w:rPr>
          <w:rFonts w:asciiTheme="minorHAnsi" w:hAnsiTheme="minorHAnsi"/>
          <w:color w:val="2E74B5"/>
          <w:u w:val="single"/>
        </w:rPr>
        <w:instrText xml:space="preserve"> MACROBUTTON  AcceptAllChangesInDoc # </w:instrText>
      </w:r>
      <w:r w:rsidR="004D57BD" w:rsidRPr="00B40ECE">
        <w:rPr>
          <w:rFonts w:asciiTheme="minorHAnsi" w:hAnsiTheme="minorHAnsi"/>
          <w:color w:val="2E74B5"/>
          <w:u w:val="single"/>
        </w:rPr>
        <w:fldChar w:fldCharType="end"/>
      </w:r>
      <w:r w:rsidR="00E32F51" w:rsidRPr="00B40ECE">
        <w:rPr>
          <w:rFonts w:asciiTheme="minorHAnsi" w:hAnsiTheme="minorHAnsi"/>
        </w:rPr>
        <w:t xml:space="preserve">% </w:t>
      </w:r>
      <w:r w:rsidRPr="00B40ECE">
        <w:rPr>
          <w:rFonts w:asciiTheme="minorHAnsi" w:hAnsiTheme="minorHAnsi"/>
        </w:rPr>
        <w:t>to</w:t>
      </w:r>
      <w:r w:rsidRPr="00B40ECE">
        <w:rPr>
          <w:rFonts w:asciiTheme="minorHAnsi" w:hAnsiTheme="minorHAnsi"/>
          <w:color w:val="9CC2E5"/>
        </w:rPr>
        <w:t xml:space="preserve"> </w:t>
      </w:r>
      <w:r w:rsidR="004D57BD" w:rsidRPr="00B40ECE">
        <w:rPr>
          <w:rFonts w:asciiTheme="minorHAnsi" w:hAnsiTheme="minorHAnsi"/>
          <w:color w:val="2E74B5"/>
          <w:u w:val="single"/>
        </w:rPr>
        <w:fldChar w:fldCharType="begin"/>
      </w:r>
      <w:r w:rsidR="004D57BD" w:rsidRPr="00B40ECE">
        <w:rPr>
          <w:rFonts w:asciiTheme="minorHAnsi" w:hAnsiTheme="minorHAnsi"/>
          <w:color w:val="2E74B5"/>
          <w:u w:val="single"/>
        </w:rPr>
        <w:instrText xml:space="preserve"> MACROBUTTON  AcceptAllChangesInDoc # </w:instrText>
      </w:r>
      <w:r w:rsidR="004D57BD" w:rsidRPr="00B40ECE">
        <w:rPr>
          <w:rFonts w:asciiTheme="minorHAnsi" w:hAnsiTheme="minorHAnsi"/>
          <w:color w:val="2E74B5"/>
          <w:u w:val="single"/>
        </w:rPr>
        <w:fldChar w:fldCharType="end"/>
      </w:r>
      <w:r w:rsidR="00E32F51" w:rsidRPr="00B40ECE">
        <w:rPr>
          <w:rFonts w:asciiTheme="minorHAnsi" w:hAnsiTheme="minorHAnsi"/>
        </w:rPr>
        <w:t>%</w:t>
      </w:r>
      <w:r w:rsidRPr="00B40ECE">
        <w:rPr>
          <w:rFonts w:asciiTheme="minorHAnsi" w:hAnsiTheme="minorHAnsi"/>
        </w:rPr>
        <w:t xml:space="preserve"> of total loans</w:t>
      </w:r>
      <w:r w:rsidR="00B40ECE">
        <w:rPr>
          <w:rFonts w:asciiTheme="minorHAnsi" w:hAnsiTheme="minorHAnsi"/>
        </w:rPr>
        <w:t>.</w:t>
      </w:r>
    </w:p>
    <w:p w14:paraId="39DAC34F" w14:textId="77777777" w:rsidR="00026276" w:rsidRPr="00B40ECE" w:rsidRDefault="00026276" w:rsidP="00B40ECE">
      <w:pPr>
        <w:pStyle w:val="ListParagraph"/>
        <w:numPr>
          <w:ilvl w:val="0"/>
          <w:numId w:val="2"/>
        </w:numPr>
        <w:spacing w:before="120" w:after="60" w:line="276" w:lineRule="auto"/>
        <w:ind w:left="360" w:hanging="270"/>
        <w:jc w:val="both"/>
        <w:rPr>
          <w:rFonts w:asciiTheme="minorHAnsi" w:hAnsiTheme="minorHAnsi"/>
        </w:rPr>
      </w:pPr>
      <w:r w:rsidRPr="00B40ECE">
        <w:rPr>
          <w:rFonts w:asciiTheme="minorHAnsi" w:hAnsiTheme="minorHAnsi"/>
        </w:rPr>
        <w:t xml:space="preserve">Loan write-offs are to be contained within a range of </w:t>
      </w:r>
      <w:r w:rsidR="004D57BD" w:rsidRPr="00B40ECE">
        <w:rPr>
          <w:rFonts w:asciiTheme="minorHAnsi" w:hAnsiTheme="minorHAnsi"/>
          <w:color w:val="2E74B5"/>
          <w:u w:val="single"/>
        </w:rPr>
        <w:fldChar w:fldCharType="begin"/>
      </w:r>
      <w:r w:rsidR="004D57BD" w:rsidRPr="00B40ECE">
        <w:rPr>
          <w:rFonts w:asciiTheme="minorHAnsi" w:hAnsiTheme="minorHAnsi"/>
          <w:color w:val="2E74B5"/>
          <w:u w:val="single"/>
        </w:rPr>
        <w:instrText xml:space="preserve"> MACROBUTTON  AcceptAllChangesInDoc # </w:instrText>
      </w:r>
      <w:r w:rsidR="004D57BD" w:rsidRPr="00B40ECE">
        <w:rPr>
          <w:rFonts w:asciiTheme="minorHAnsi" w:hAnsiTheme="minorHAnsi"/>
          <w:color w:val="2E74B5"/>
          <w:u w:val="single"/>
        </w:rPr>
        <w:fldChar w:fldCharType="end"/>
      </w:r>
      <w:r w:rsidR="00F90CF3" w:rsidRPr="00B40ECE">
        <w:rPr>
          <w:rFonts w:asciiTheme="minorHAnsi" w:hAnsiTheme="minorHAnsi"/>
        </w:rPr>
        <w:t>% to</w:t>
      </w:r>
      <w:r w:rsidRPr="00B40ECE">
        <w:rPr>
          <w:rFonts w:asciiTheme="minorHAnsi" w:hAnsiTheme="minorHAnsi"/>
        </w:rPr>
        <w:t xml:space="preserve"> </w:t>
      </w:r>
      <w:r w:rsidR="004D57BD" w:rsidRPr="00B40ECE">
        <w:rPr>
          <w:rFonts w:asciiTheme="minorHAnsi" w:hAnsiTheme="minorHAnsi"/>
          <w:color w:val="2E74B5"/>
          <w:u w:val="single"/>
        </w:rPr>
        <w:fldChar w:fldCharType="begin"/>
      </w:r>
      <w:r w:rsidR="004D57BD" w:rsidRPr="00B40ECE">
        <w:rPr>
          <w:rFonts w:asciiTheme="minorHAnsi" w:hAnsiTheme="minorHAnsi"/>
          <w:color w:val="2E74B5"/>
          <w:u w:val="single"/>
        </w:rPr>
        <w:instrText xml:space="preserve"> MACROBUTTON  AcceptAllChangesInDoc # </w:instrText>
      </w:r>
      <w:r w:rsidR="004D57BD" w:rsidRPr="00B40ECE">
        <w:rPr>
          <w:rFonts w:asciiTheme="minorHAnsi" w:hAnsiTheme="minorHAnsi"/>
          <w:color w:val="2E74B5"/>
          <w:u w:val="single"/>
        </w:rPr>
        <w:fldChar w:fldCharType="end"/>
      </w:r>
      <w:r w:rsidR="00E32F51" w:rsidRPr="00B40ECE">
        <w:rPr>
          <w:rFonts w:asciiTheme="minorHAnsi" w:hAnsiTheme="minorHAnsi"/>
        </w:rPr>
        <w:t>%</w:t>
      </w:r>
      <w:r w:rsidR="00F90CF3" w:rsidRPr="00B40ECE">
        <w:rPr>
          <w:rFonts w:asciiTheme="minorHAnsi" w:hAnsiTheme="minorHAnsi"/>
          <w:color w:val="C00000"/>
        </w:rPr>
        <w:t xml:space="preserve"> </w:t>
      </w:r>
      <w:r w:rsidRPr="00B40ECE">
        <w:rPr>
          <w:rFonts w:asciiTheme="minorHAnsi" w:hAnsiTheme="minorHAnsi"/>
        </w:rPr>
        <w:t>of total loans</w:t>
      </w:r>
      <w:r w:rsidR="00F90CF3" w:rsidRPr="00B40ECE">
        <w:rPr>
          <w:rFonts w:asciiTheme="minorHAnsi" w:hAnsiTheme="minorHAnsi"/>
        </w:rPr>
        <w:t>.</w:t>
      </w:r>
    </w:p>
    <w:p w14:paraId="18837EED" w14:textId="77777777" w:rsidR="00026276" w:rsidRPr="00392020" w:rsidRDefault="00026276" w:rsidP="00392020">
      <w:pPr>
        <w:pStyle w:val="Heading1"/>
        <w:spacing w:line="276" w:lineRule="auto"/>
      </w:pPr>
      <w:bookmarkStart w:id="11" w:name="_Toc321901220"/>
      <w:bookmarkStart w:id="12" w:name="_Toc507416323"/>
      <w:r w:rsidRPr="00392020">
        <w:t>Credit Authorization</w:t>
      </w:r>
      <w:bookmarkEnd w:id="11"/>
      <w:bookmarkEnd w:id="12"/>
    </w:p>
    <w:p w14:paraId="07A8F9AE" w14:textId="77777777" w:rsidR="002152EB" w:rsidRDefault="004D57BD" w:rsidP="00B40ECE">
      <w:pPr>
        <w:pStyle w:val="ListParagraph"/>
        <w:spacing w:before="120" w:after="60" w:line="276" w:lineRule="auto"/>
        <w:ind w:left="0"/>
        <w:contextualSpacing w:val="0"/>
        <w:jc w:val="both"/>
        <w:rPr>
          <w:rFonts w:asciiTheme="minorHAnsi" w:hAnsiTheme="minorHAnsi"/>
        </w:rPr>
      </w:pPr>
      <w:r w:rsidRPr="00B40ECE">
        <w:rPr>
          <w:rFonts w:asciiTheme="minorHAnsi" w:hAnsiTheme="minorHAnsi"/>
          <w:color w:val="2E74B5"/>
        </w:rPr>
        <w:fldChar w:fldCharType="begin"/>
      </w:r>
      <w:r w:rsidRPr="00B40ECE">
        <w:rPr>
          <w:rFonts w:asciiTheme="minorHAnsi" w:hAnsiTheme="minorHAnsi"/>
          <w:color w:val="2E74B5"/>
        </w:rPr>
        <w:instrText xml:space="preserve"> MACROBUTTON  AcceptAllChangesInDoc "Credit Union Name" </w:instrText>
      </w:r>
      <w:r w:rsidRPr="00B40ECE">
        <w:rPr>
          <w:rFonts w:asciiTheme="minorHAnsi" w:hAnsiTheme="minorHAnsi"/>
          <w:color w:val="2E74B5"/>
        </w:rPr>
        <w:fldChar w:fldCharType="end"/>
      </w:r>
      <w:r w:rsidR="000705D5" w:rsidRPr="00B40ECE">
        <w:rPr>
          <w:rFonts w:asciiTheme="minorHAnsi" w:hAnsiTheme="minorHAnsi"/>
        </w:rPr>
        <w:t xml:space="preserve">discretionary </w:t>
      </w:r>
      <w:r w:rsidRPr="00B40ECE">
        <w:rPr>
          <w:rFonts w:asciiTheme="minorHAnsi" w:hAnsiTheme="minorHAnsi"/>
        </w:rPr>
        <w:t>l</w:t>
      </w:r>
      <w:r w:rsidR="00026276" w:rsidRPr="00B40ECE">
        <w:rPr>
          <w:rFonts w:asciiTheme="minorHAnsi" w:hAnsiTheme="minorHAnsi"/>
        </w:rPr>
        <w:t xml:space="preserve">ending limits </w:t>
      </w:r>
      <w:r w:rsidR="00F90CF3" w:rsidRPr="00B40ECE">
        <w:rPr>
          <w:rFonts w:asciiTheme="minorHAnsi" w:hAnsiTheme="minorHAnsi"/>
        </w:rPr>
        <w:t xml:space="preserve">for all borrowing classes </w:t>
      </w:r>
      <w:r w:rsidR="00026276" w:rsidRPr="00B40ECE">
        <w:rPr>
          <w:rFonts w:asciiTheme="minorHAnsi" w:hAnsiTheme="minorHAnsi"/>
        </w:rPr>
        <w:t xml:space="preserve">are </w:t>
      </w:r>
      <w:r w:rsidR="003E3D8E" w:rsidRPr="00B40ECE">
        <w:rPr>
          <w:rFonts w:asciiTheme="minorHAnsi" w:hAnsiTheme="minorHAnsi"/>
        </w:rPr>
        <w:t>requested by the credit union board and confirmed</w:t>
      </w:r>
      <w:r w:rsidR="006E3C5C" w:rsidRPr="00B40ECE">
        <w:rPr>
          <w:rFonts w:asciiTheme="minorHAnsi" w:hAnsiTheme="minorHAnsi"/>
        </w:rPr>
        <w:t>, in writing,</w:t>
      </w:r>
      <w:r w:rsidR="00026276" w:rsidRPr="00B40ECE">
        <w:rPr>
          <w:rFonts w:asciiTheme="minorHAnsi" w:hAnsiTheme="minorHAnsi"/>
        </w:rPr>
        <w:t xml:space="preserve"> by CUDGC to the </w:t>
      </w:r>
      <w:r w:rsidR="000705D5" w:rsidRPr="00B40ECE">
        <w:rPr>
          <w:rFonts w:asciiTheme="minorHAnsi" w:hAnsiTheme="minorHAnsi"/>
        </w:rPr>
        <w:t xml:space="preserve">CU </w:t>
      </w:r>
      <w:r w:rsidR="00026276" w:rsidRPr="00B40ECE">
        <w:rPr>
          <w:rFonts w:asciiTheme="minorHAnsi" w:hAnsiTheme="minorHAnsi"/>
        </w:rPr>
        <w:t xml:space="preserve">Board, who will </w:t>
      </w:r>
      <w:r w:rsidR="00C019B3" w:rsidRPr="00B40ECE">
        <w:rPr>
          <w:rFonts w:asciiTheme="minorHAnsi" w:hAnsiTheme="minorHAnsi"/>
        </w:rPr>
        <w:t xml:space="preserve">then </w:t>
      </w:r>
      <w:r w:rsidR="00026276" w:rsidRPr="00B40ECE">
        <w:rPr>
          <w:rFonts w:asciiTheme="minorHAnsi" w:hAnsiTheme="minorHAnsi"/>
        </w:rPr>
        <w:t xml:space="preserve">delegate appropriate limits and conditions to </w:t>
      </w:r>
      <w:r w:rsidR="00551EBF" w:rsidRPr="00B40ECE">
        <w:rPr>
          <w:rFonts w:asciiTheme="minorHAnsi" w:hAnsiTheme="minorHAnsi"/>
        </w:rPr>
        <w:t xml:space="preserve">the </w:t>
      </w:r>
      <w:r w:rsidR="000705D5" w:rsidRPr="00B40ECE">
        <w:rPr>
          <w:rFonts w:asciiTheme="minorHAnsi" w:hAnsiTheme="minorHAnsi"/>
        </w:rPr>
        <w:t xml:space="preserve">CU </w:t>
      </w:r>
      <w:r w:rsidR="00026276" w:rsidRPr="00B40ECE">
        <w:rPr>
          <w:rFonts w:asciiTheme="minorHAnsi" w:hAnsiTheme="minorHAnsi"/>
        </w:rPr>
        <w:t>M</w:t>
      </w:r>
      <w:r w:rsidR="00147968" w:rsidRPr="00B40ECE">
        <w:rPr>
          <w:rFonts w:asciiTheme="minorHAnsi" w:hAnsiTheme="minorHAnsi"/>
        </w:rPr>
        <w:t xml:space="preserve">anagement </w:t>
      </w:r>
      <w:r w:rsidR="00026276" w:rsidRPr="00B40ECE">
        <w:rPr>
          <w:rFonts w:asciiTheme="minorHAnsi" w:hAnsiTheme="minorHAnsi"/>
        </w:rPr>
        <w:t>C</w:t>
      </w:r>
      <w:r w:rsidR="00147968" w:rsidRPr="00B40ECE">
        <w:rPr>
          <w:rFonts w:asciiTheme="minorHAnsi" w:hAnsiTheme="minorHAnsi"/>
        </w:rPr>
        <w:t xml:space="preserve">redit </w:t>
      </w:r>
      <w:r w:rsidR="00C019B3" w:rsidRPr="00B40ECE">
        <w:rPr>
          <w:rFonts w:asciiTheme="minorHAnsi" w:hAnsiTheme="minorHAnsi"/>
        </w:rPr>
        <w:t>C</w:t>
      </w:r>
      <w:r w:rsidR="00147968" w:rsidRPr="00B40ECE">
        <w:rPr>
          <w:rFonts w:asciiTheme="minorHAnsi" w:hAnsiTheme="minorHAnsi"/>
        </w:rPr>
        <w:t>ommittee (MCC)</w:t>
      </w:r>
      <w:r w:rsidR="00026276" w:rsidRPr="00B40ECE">
        <w:rPr>
          <w:rFonts w:asciiTheme="minorHAnsi" w:hAnsiTheme="minorHAnsi"/>
        </w:rPr>
        <w:t>.</w:t>
      </w:r>
    </w:p>
    <w:p w14:paraId="787F48CC" w14:textId="77777777" w:rsidR="00147211" w:rsidRPr="00B40ECE" w:rsidRDefault="00026276" w:rsidP="00B40ECE">
      <w:pPr>
        <w:pStyle w:val="ListParagraph"/>
        <w:spacing w:before="120" w:after="60" w:line="276" w:lineRule="auto"/>
        <w:ind w:left="0"/>
        <w:contextualSpacing w:val="0"/>
        <w:jc w:val="both"/>
        <w:rPr>
          <w:rFonts w:asciiTheme="minorHAnsi" w:hAnsiTheme="minorHAnsi"/>
        </w:rPr>
      </w:pPr>
      <w:r w:rsidRPr="00B40ECE">
        <w:rPr>
          <w:rFonts w:asciiTheme="minorHAnsi" w:hAnsiTheme="minorHAnsi"/>
        </w:rPr>
        <w:t>The MC</w:t>
      </w:r>
      <w:r w:rsidR="00C019B3" w:rsidRPr="00B40ECE">
        <w:rPr>
          <w:rFonts w:asciiTheme="minorHAnsi" w:hAnsiTheme="minorHAnsi"/>
        </w:rPr>
        <w:t>C</w:t>
      </w:r>
      <w:r w:rsidR="00147211" w:rsidRPr="00B40ECE">
        <w:rPr>
          <w:rFonts w:asciiTheme="minorHAnsi" w:hAnsiTheme="minorHAnsi"/>
        </w:rPr>
        <w:t xml:space="preserve">, operating under their terms of reference, as per Appendix “E” attached, </w:t>
      </w:r>
      <w:r w:rsidRPr="00B40ECE">
        <w:rPr>
          <w:rFonts w:asciiTheme="minorHAnsi" w:hAnsiTheme="minorHAnsi"/>
        </w:rPr>
        <w:t xml:space="preserve">will approve a credit authority framework to be utilized by the </w:t>
      </w:r>
      <w:r w:rsidR="00F77FAA" w:rsidRPr="00B40ECE">
        <w:rPr>
          <w:rFonts w:asciiTheme="minorHAnsi" w:hAnsiTheme="minorHAnsi"/>
        </w:rPr>
        <w:t>CEO/</w:t>
      </w:r>
      <w:r w:rsidR="00F90CF3" w:rsidRPr="00B40ECE">
        <w:rPr>
          <w:rFonts w:asciiTheme="minorHAnsi" w:hAnsiTheme="minorHAnsi"/>
        </w:rPr>
        <w:t>Senior Credit Officer</w:t>
      </w:r>
      <w:r w:rsidRPr="00B40ECE">
        <w:rPr>
          <w:rFonts w:asciiTheme="minorHAnsi" w:hAnsiTheme="minorHAnsi"/>
        </w:rPr>
        <w:t xml:space="preserve"> in delegating lending limits to credit adjudication and sales staff. Delegation of lending authorities will be based on the risk assessment competency and credit skill level of the individual, irrespective of the staffing position held.</w:t>
      </w:r>
    </w:p>
    <w:p w14:paraId="4618A9FA" w14:textId="77777777" w:rsidR="00147211" w:rsidRPr="00B40ECE" w:rsidRDefault="00551EBF" w:rsidP="00B40ECE">
      <w:pPr>
        <w:pStyle w:val="ListParagraph"/>
        <w:spacing w:before="120" w:after="60" w:line="276" w:lineRule="auto"/>
        <w:ind w:left="0"/>
        <w:contextualSpacing w:val="0"/>
        <w:jc w:val="both"/>
        <w:rPr>
          <w:rFonts w:asciiTheme="minorHAnsi" w:hAnsiTheme="minorHAnsi"/>
        </w:rPr>
      </w:pPr>
      <w:r w:rsidRPr="00B40ECE">
        <w:rPr>
          <w:rFonts w:asciiTheme="minorHAnsi" w:hAnsiTheme="minorHAnsi"/>
        </w:rPr>
        <w:t xml:space="preserve">The credit authority framework will include a periodic and regular review of </w:t>
      </w:r>
      <w:r w:rsidR="00147211" w:rsidRPr="00B40ECE">
        <w:rPr>
          <w:rFonts w:asciiTheme="minorHAnsi" w:hAnsiTheme="minorHAnsi"/>
        </w:rPr>
        <w:t>a sample of loans approved within the delegated approval limits</w:t>
      </w:r>
      <w:r w:rsidR="006E3C5C" w:rsidRPr="00B40ECE">
        <w:rPr>
          <w:rFonts w:asciiTheme="minorHAnsi" w:hAnsiTheme="minorHAnsi"/>
        </w:rPr>
        <w:t>,</w:t>
      </w:r>
      <w:r w:rsidR="00147211" w:rsidRPr="00B40ECE">
        <w:rPr>
          <w:rFonts w:asciiTheme="minorHAnsi" w:hAnsiTheme="minorHAnsi"/>
        </w:rPr>
        <w:t xml:space="preserve"> to ensure that safe and sound underwriting practices</w:t>
      </w:r>
      <w:r w:rsidR="006E3C5C" w:rsidRPr="00B40ECE">
        <w:rPr>
          <w:rFonts w:asciiTheme="minorHAnsi" w:hAnsiTheme="minorHAnsi"/>
        </w:rPr>
        <w:t xml:space="preserve"> and </w:t>
      </w:r>
      <w:r w:rsidR="004D57BD" w:rsidRPr="00B40ECE">
        <w:rPr>
          <w:rFonts w:asciiTheme="minorHAnsi" w:hAnsiTheme="minorHAnsi"/>
          <w:color w:val="2E74B5"/>
        </w:rPr>
        <w:fldChar w:fldCharType="begin"/>
      </w:r>
      <w:r w:rsidR="004D57BD" w:rsidRPr="00B40ECE">
        <w:rPr>
          <w:rFonts w:asciiTheme="minorHAnsi" w:hAnsiTheme="minorHAnsi"/>
          <w:color w:val="2E74B5"/>
        </w:rPr>
        <w:instrText xml:space="preserve"> MACROBUTTON  AcceptAllChangesInDoc "CU Short Name" </w:instrText>
      </w:r>
      <w:r w:rsidR="004D57BD" w:rsidRPr="00B40ECE">
        <w:rPr>
          <w:rFonts w:asciiTheme="minorHAnsi" w:hAnsiTheme="minorHAnsi"/>
          <w:color w:val="2E74B5"/>
        </w:rPr>
        <w:fldChar w:fldCharType="end"/>
      </w:r>
      <w:r w:rsidR="00B40ECE" w:rsidRPr="002152EB">
        <w:rPr>
          <w:rFonts w:asciiTheme="minorHAnsi" w:hAnsiTheme="minorHAnsi"/>
        </w:rPr>
        <w:t>/</w:t>
      </w:r>
      <w:r w:rsidR="006E3C5C" w:rsidRPr="00B40ECE">
        <w:rPr>
          <w:rFonts w:asciiTheme="minorHAnsi" w:hAnsiTheme="minorHAnsi"/>
        </w:rPr>
        <w:t xml:space="preserve">CUDGC </w:t>
      </w:r>
      <w:r w:rsidR="00433148" w:rsidRPr="00B40ECE">
        <w:rPr>
          <w:rFonts w:asciiTheme="minorHAnsi" w:hAnsiTheme="minorHAnsi"/>
        </w:rPr>
        <w:t>Lending Guidelines</w:t>
      </w:r>
      <w:r w:rsidR="00147211" w:rsidRPr="00B40ECE">
        <w:rPr>
          <w:rFonts w:asciiTheme="minorHAnsi" w:hAnsiTheme="minorHAnsi"/>
        </w:rPr>
        <w:t xml:space="preserve"> are applied</w:t>
      </w:r>
      <w:r w:rsidR="006E3C5C" w:rsidRPr="00B40ECE">
        <w:rPr>
          <w:rFonts w:asciiTheme="minorHAnsi" w:hAnsiTheme="minorHAnsi"/>
        </w:rPr>
        <w:t xml:space="preserve"> with any allowed exceptions documented, mitigated and approved.</w:t>
      </w:r>
      <w:r w:rsidR="00BD3959" w:rsidRPr="00B40ECE">
        <w:rPr>
          <w:rFonts w:asciiTheme="minorHAnsi" w:hAnsiTheme="minorHAnsi"/>
        </w:rPr>
        <w:t xml:space="preserve"> This may be accomplished through a combination of periodic reviews by officers with higher lending limits a</w:t>
      </w:r>
      <w:r w:rsidR="009D0068" w:rsidRPr="00B40ECE">
        <w:rPr>
          <w:rFonts w:asciiTheme="minorHAnsi" w:hAnsiTheme="minorHAnsi"/>
        </w:rPr>
        <w:t>nd/</w:t>
      </w:r>
      <w:r w:rsidR="002E2803" w:rsidRPr="00B40ECE">
        <w:rPr>
          <w:rFonts w:asciiTheme="minorHAnsi" w:hAnsiTheme="minorHAnsi"/>
        </w:rPr>
        <w:t>or an</w:t>
      </w:r>
      <w:r w:rsidR="00BD3959" w:rsidRPr="00B40ECE">
        <w:rPr>
          <w:rFonts w:asciiTheme="minorHAnsi" w:hAnsiTheme="minorHAnsi"/>
        </w:rPr>
        <w:t xml:space="preserve"> internal loan review program.</w:t>
      </w:r>
    </w:p>
    <w:p w14:paraId="3B3DBD01" w14:textId="77777777" w:rsidR="00026276" w:rsidRPr="00392020" w:rsidRDefault="00026276" w:rsidP="00833A4A">
      <w:pPr>
        <w:pStyle w:val="Heading1"/>
        <w:spacing w:line="276" w:lineRule="auto"/>
      </w:pPr>
      <w:bookmarkStart w:id="13" w:name="_Toc321901221"/>
      <w:bookmarkStart w:id="14" w:name="_Toc507416324"/>
      <w:r w:rsidRPr="00392020">
        <w:t>Risk Ratings</w:t>
      </w:r>
      <w:bookmarkEnd w:id="13"/>
      <w:bookmarkEnd w:id="14"/>
    </w:p>
    <w:p w14:paraId="4A889964" w14:textId="77777777" w:rsidR="0092360D" w:rsidRDefault="00026276" w:rsidP="00833A4A">
      <w:pPr>
        <w:pStyle w:val="Heading2"/>
        <w:spacing w:before="120"/>
        <w:rPr>
          <w:rStyle w:val="Heading2Char"/>
          <w:rFonts w:asciiTheme="minorHAnsi" w:eastAsia="Calibri" w:hAnsiTheme="minorHAnsi"/>
          <w:sz w:val="24"/>
          <w:szCs w:val="24"/>
        </w:rPr>
      </w:pPr>
      <w:bookmarkStart w:id="15" w:name="_Toc507416325"/>
      <w:bookmarkStart w:id="16" w:name="_Toc321901222"/>
      <w:r w:rsidRPr="00392020">
        <w:rPr>
          <w:rStyle w:val="Heading2Char"/>
          <w:rFonts w:asciiTheme="minorHAnsi" w:eastAsia="Calibri" w:hAnsiTheme="minorHAnsi"/>
          <w:sz w:val="24"/>
          <w:szCs w:val="24"/>
        </w:rPr>
        <w:t>Retail</w:t>
      </w:r>
      <w:bookmarkEnd w:id="15"/>
    </w:p>
    <w:bookmarkEnd w:id="16"/>
    <w:p w14:paraId="75717CD9" w14:textId="77777777" w:rsidR="00026276" w:rsidRPr="00833A4A" w:rsidRDefault="00026276" w:rsidP="00833A4A">
      <w:pPr>
        <w:pStyle w:val="ListParagraph"/>
        <w:spacing w:before="120" w:after="60" w:line="276" w:lineRule="auto"/>
        <w:ind w:left="0"/>
        <w:contextualSpacing w:val="0"/>
        <w:jc w:val="both"/>
        <w:rPr>
          <w:rFonts w:asciiTheme="minorHAnsi" w:hAnsiTheme="minorHAnsi"/>
        </w:rPr>
      </w:pPr>
      <w:r w:rsidRPr="00833A4A">
        <w:rPr>
          <w:rFonts w:asciiTheme="minorHAnsi" w:hAnsiTheme="minorHAnsi"/>
        </w:rPr>
        <w:t xml:space="preserve">Consumer lending will be adjudicated based on a credit score, (customized or Beacon) as developed by Retail Credit. Authority to extend exceptions outside the approved credit score ranges will be subject to an exception credit review and appropriate risk mitigation. Retail loan origination </w:t>
      </w:r>
      <w:r w:rsidR="003860C7" w:rsidRPr="00833A4A">
        <w:rPr>
          <w:rFonts w:asciiTheme="minorHAnsi" w:hAnsiTheme="minorHAnsi"/>
        </w:rPr>
        <w:t>will</w:t>
      </w:r>
      <w:r w:rsidRPr="00833A4A">
        <w:rPr>
          <w:rFonts w:asciiTheme="minorHAnsi" w:hAnsiTheme="minorHAnsi"/>
        </w:rPr>
        <w:t xml:space="preserve"> be monitored by credit score bands and the credit score approval range adjusted where appropriate, based on historical </w:t>
      </w:r>
      <w:r w:rsidR="00F77FAA" w:rsidRPr="00833A4A">
        <w:rPr>
          <w:rFonts w:asciiTheme="minorHAnsi" w:hAnsiTheme="minorHAnsi"/>
        </w:rPr>
        <w:t>delinquency, default and write-offs</w:t>
      </w:r>
      <w:r w:rsidRPr="00833A4A">
        <w:rPr>
          <w:rFonts w:asciiTheme="minorHAnsi" w:hAnsiTheme="minorHAnsi"/>
        </w:rPr>
        <w:t xml:space="preserve"> and the </w:t>
      </w:r>
      <w:r w:rsidR="004D57BD" w:rsidRPr="00833A4A">
        <w:rPr>
          <w:rFonts w:asciiTheme="minorHAnsi" w:hAnsiTheme="minorHAnsi"/>
          <w:color w:val="2E74B5"/>
        </w:rPr>
        <w:fldChar w:fldCharType="begin"/>
      </w:r>
      <w:r w:rsidR="004D57BD" w:rsidRPr="00833A4A">
        <w:rPr>
          <w:rFonts w:asciiTheme="minorHAnsi" w:hAnsiTheme="minorHAnsi"/>
          <w:color w:val="2E74B5"/>
        </w:rPr>
        <w:instrText xml:space="preserve"> MACROBUTTON  AcceptAllChangesInDoc "Credit Union Name" </w:instrText>
      </w:r>
      <w:r w:rsidR="004D57BD" w:rsidRPr="00833A4A">
        <w:rPr>
          <w:rFonts w:asciiTheme="minorHAnsi" w:hAnsiTheme="minorHAnsi"/>
          <w:color w:val="2E74B5"/>
        </w:rPr>
        <w:fldChar w:fldCharType="end"/>
      </w:r>
      <w:r w:rsidR="00833A4A">
        <w:rPr>
          <w:rFonts w:asciiTheme="minorHAnsi" w:hAnsiTheme="minorHAnsi"/>
        </w:rPr>
        <w:t xml:space="preserve"> risk appetite.</w:t>
      </w:r>
    </w:p>
    <w:p w14:paraId="1DCF83C6" w14:textId="77777777" w:rsidR="0092360D" w:rsidRDefault="00026276" w:rsidP="00833A4A">
      <w:pPr>
        <w:pStyle w:val="Heading2"/>
        <w:spacing w:before="120"/>
        <w:rPr>
          <w:rStyle w:val="Heading2Char"/>
          <w:rFonts w:asciiTheme="minorHAnsi" w:eastAsia="Calibri" w:hAnsiTheme="minorHAnsi"/>
          <w:sz w:val="24"/>
          <w:szCs w:val="24"/>
        </w:rPr>
      </w:pPr>
      <w:bookmarkStart w:id="17" w:name="_Toc507416326"/>
      <w:bookmarkStart w:id="18" w:name="_Toc321901223"/>
      <w:r w:rsidRPr="00392020">
        <w:rPr>
          <w:rStyle w:val="Heading2Char"/>
          <w:rFonts w:asciiTheme="minorHAnsi" w:eastAsia="Calibri" w:hAnsiTheme="minorHAnsi"/>
          <w:sz w:val="24"/>
          <w:szCs w:val="24"/>
        </w:rPr>
        <w:lastRenderedPageBreak/>
        <w:t>Commercial</w:t>
      </w:r>
      <w:bookmarkEnd w:id="17"/>
    </w:p>
    <w:bookmarkEnd w:id="18"/>
    <w:p w14:paraId="3CFF0EFB" w14:textId="77777777" w:rsidR="00026276" w:rsidRPr="00833A4A" w:rsidRDefault="00026276" w:rsidP="00833A4A">
      <w:pPr>
        <w:pStyle w:val="ListParagraph"/>
        <w:spacing w:before="120" w:after="60" w:line="276" w:lineRule="auto"/>
        <w:ind w:left="0"/>
        <w:contextualSpacing w:val="0"/>
        <w:jc w:val="both"/>
        <w:rPr>
          <w:rFonts w:asciiTheme="minorHAnsi" w:hAnsiTheme="minorHAnsi"/>
        </w:rPr>
      </w:pPr>
      <w:r w:rsidRPr="00833A4A">
        <w:rPr>
          <w:rFonts w:asciiTheme="minorHAnsi" w:hAnsiTheme="minorHAnsi"/>
        </w:rPr>
        <w:t>Non-consumer loans will be subject to a Borrowers Risk Rating</w:t>
      </w:r>
      <w:r w:rsidR="00290FD7" w:rsidRPr="00833A4A">
        <w:rPr>
          <w:rFonts w:asciiTheme="minorHAnsi" w:hAnsiTheme="minorHAnsi"/>
        </w:rPr>
        <w:t xml:space="preserve"> (BRR)</w:t>
      </w:r>
      <w:r w:rsidRPr="00833A4A">
        <w:rPr>
          <w:rFonts w:asciiTheme="minorHAnsi" w:hAnsiTheme="minorHAnsi"/>
        </w:rPr>
        <w:t xml:space="preserve"> model that grades the borrower based on risk characteristics outlined in CUDGC Business Lending Guidelines. Risk groupings include the following categories:</w:t>
      </w:r>
    </w:p>
    <w:p w14:paraId="1FEE9B09" w14:textId="77777777" w:rsidR="00026276" w:rsidRPr="00833A4A" w:rsidRDefault="00026276" w:rsidP="00833A4A">
      <w:pPr>
        <w:pStyle w:val="ListParagraph"/>
        <w:spacing w:before="120" w:after="60" w:line="276" w:lineRule="auto"/>
        <w:ind w:left="0"/>
        <w:jc w:val="both"/>
        <w:rPr>
          <w:rFonts w:asciiTheme="minorHAnsi" w:hAnsiTheme="minorHAnsi"/>
        </w:rPr>
      </w:pPr>
      <w:r w:rsidRPr="00833A4A">
        <w:rPr>
          <w:rFonts w:asciiTheme="minorHAnsi" w:hAnsiTheme="minorHAnsi"/>
          <w:b/>
        </w:rPr>
        <w:t xml:space="preserve">BRR 1 through 4 </w:t>
      </w:r>
      <w:r w:rsidRPr="00833A4A">
        <w:rPr>
          <w:rFonts w:asciiTheme="minorHAnsi" w:hAnsiTheme="minorHAnsi"/>
        </w:rPr>
        <w:tab/>
      </w:r>
      <w:r w:rsidR="00290FD7" w:rsidRPr="00833A4A">
        <w:rPr>
          <w:rFonts w:asciiTheme="minorHAnsi" w:hAnsiTheme="minorHAnsi"/>
        </w:rPr>
        <w:t xml:space="preserve">Excellent to </w:t>
      </w:r>
      <w:r w:rsidRPr="00833A4A">
        <w:rPr>
          <w:rFonts w:asciiTheme="minorHAnsi" w:hAnsiTheme="minorHAnsi"/>
        </w:rPr>
        <w:t>Acceptable</w:t>
      </w:r>
      <w:r w:rsidR="00FE7F96" w:rsidRPr="00833A4A">
        <w:rPr>
          <w:rFonts w:asciiTheme="minorHAnsi" w:hAnsiTheme="minorHAnsi"/>
        </w:rPr>
        <w:t xml:space="preserve"> Risk</w:t>
      </w:r>
    </w:p>
    <w:p w14:paraId="1FBE78AB" w14:textId="77777777" w:rsidR="00026276" w:rsidRPr="00833A4A" w:rsidRDefault="00026276" w:rsidP="00833A4A">
      <w:pPr>
        <w:pStyle w:val="ListParagraph"/>
        <w:spacing w:before="120" w:after="60" w:line="276" w:lineRule="auto"/>
        <w:ind w:left="0"/>
        <w:jc w:val="both"/>
        <w:rPr>
          <w:rFonts w:asciiTheme="minorHAnsi" w:hAnsiTheme="minorHAnsi"/>
        </w:rPr>
      </w:pPr>
      <w:r w:rsidRPr="00833A4A">
        <w:rPr>
          <w:rFonts w:asciiTheme="minorHAnsi" w:hAnsiTheme="minorHAnsi"/>
          <w:b/>
        </w:rPr>
        <w:t>BRR 5</w:t>
      </w:r>
      <w:r w:rsidRPr="00833A4A">
        <w:rPr>
          <w:rFonts w:asciiTheme="minorHAnsi" w:hAnsiTheme="minorHAnsi"/>
          <w:b/>
        </w:rPr>
        <w:tab/>
      </w:r>
      <w:r w:rsidRPr="00833A4A">
        <w:rPr>
          <w:rFonts w:asciiTheme="minorHAnsi" w:hAnsiTheme="minorHAnsi"/>
          <w:b/>
        </w:rPr>
        <w:tab/>
      </w:r>
      <w:r w:rsidRPr="00833A4A">
        <w:rPr>
          <w:rFonts w:asciiTheme="minorHAnsi" w:hAnsiTheme="minorHAnsi"/>
          <w:b/>
        </w:rPr>
        <w:tab/>
      </w:r>
      <w:r w:rsidR="00FE7F96" w:rsidRPr="00833A4A">
        <w:rPr>
          <w:rFonts w:asciiTheme="minorHAnsi" w:hAnsiTheme="minorHAnsi"/>
        </w:rPr>
        <w:t>Caution Risk</w:t>
      </w:r>
    </w:p>
    <w:p w14:paraId="69280E23" w14:textId="77777777" w:rsidR="00F90CF3" w:rsidRPr="00833A4A" w:rsidRDefault="00026276" w:rsidP="00833A4A">
      <w:pPr>
        <w:pStyle w:val="ListParagraph"/>
        <w:spacing w:before="120" w:after="60" w:line="276" w:lineRule="auto"/>
        <w:ind w:left="0"/>
        <w:jc w:val="both"/>
        <w:rPr>
          <w:rFonts w:asciiTheme="minorHAnsi" w:hAnsiTheme="minorHAnsi"/>
          <w:b/>
        </w:rPr>
      </w:pPr>
      <w:r w:rsidRPr="00833A4A">
        <w:rPr>
          <w:rFonts w:asciiTheme="minorHAnsi" w:hAnsiTheme="minorHAnsi"/>
          <w:b/>
        </w:rPr>
        <w:t>BRR 6</w:t>
      </w:r>
      <w:r w:rsidR="00F90CF3" w:rsidRPr="00833A4A">
        <w:rPr>
          <w:rFonts w:asciiTheme="minorHAnsi" w:hAnsiTheme="minorHAnsi"/>
          <w:b/>
        </w:rPr>
        <w:tab/>
      </w:r>
      <w:r w:rsidR="00F90CF3" w:rsidRPr="00833A4A">
        <w:rPr>
          <w:rFonts w:asciiTheme="minorHAnsi" w:hAnsiTheme="minorHAnsi"/>
          <w:b/>
        </w:rPr>
        <w:tab/>
      </w:r>
      <w:r w:rsidR="00F90CF3" w:rsidRPr="00833A4A">
        <w:rPr>
          <w:rFonts w:asciiTheme="minorHAnsi" w:hAnsiTheme="minorHAnsi"/>
          <w:b/>
        </w:rPr>
        <w:tab/>
      </w:r>
      <w:r w:rsidR="00F90CF3" w:rsidRPr="00833A4A">
        <w:rPr>
          <w:rFonts w:asciiTheme="minorHAnsi" w:hAnsiTheme="minorHAnsi"/>
        </w:rPr>
        <w:t>Watch</w:t>
      </w:r>
      <w:r w:rsidR="005E1F4C" w:rsidRPr="00833A4A">
        <w:rPr>
          <w:rFonts w:asciiTheme="minorHAnsi" w:hAnsiTheme="minorHAnsi"/>
        </w:rPr>
        <w:t xml:space="preserve"> Monitor</w:t>
      </w:r>
      <w:r w:rsidR="00FE7F96" w:rsidRPr="00833A4A">
        <w:rPr>
          <w:rFonts w:asciiTheme="minorHAnsi" w:hAnsiTheme="minorHAnsi"/>
        </w:rPr>
        <w:t>ing</w:t>
      </w:r>
    </w:p>
    <w:p w14:paraId="40B342A3" w14:textId="77777777" w:rsidR="00F90CF3" w:rsidRPr="00833A4A" w:rsidRDefault="00F90CF3" w:rsidP="00833A4A">
      <w:pPr>
        <w:pStyle w:val="ListParagraph"/>
        <w:spacing w:before="120" w:after="60" w:line="276" w:lineRule="auto"/>
        <w:ind w:left="0"/>
        <w:jc w:val="both"/>
        <w:rPr>
          <w:rFonts w:asciiTheme="minorHAnsi" w:hAnsiTheme="minorHAnsi"/>
          <w:b/>
        </w:rPr>
      </w:pPr>
      <w:r w:rsidRPr="00833A4A">
        <w:rPr>
          <w:rFonts w:asciiTheme="minorHAnsi" w:hAnsiTheme="minorHAnsi"/>
          <w:b/>
        </w:rPr>
        <w:t>BRR</w:t>
      </w:r>
      <w:r w:rsidR="00026276" w:rsidRPr="00833A4A">
        <w:rPr>
          <w:rFonts w:asciiTheme="minorHAnsi" w:hAnsiTheme="minorHAnsi"/>
          <w:b/>
        </w:rPr>
        <w:t xml:space="preserve"> 7</w:t>
      </w:r>
      <w:r w:rsidRPr="00833A4A">
        <w:rPr>
          <w:rFonts w:asciiTheme="minorHAnsi" w:hAnsiTheme="minorHAnsi"/>
          <w:b/>
        </w:rPr>
        <w:tab/>
      </w:r>
      <w:r w:rsidRPr="00833A4A">
        <w:rPr>
          <w:rFonts w:asciiTheme="minorHAnsi" w:hAnsiTheme="minorHAnsi"/>
          <w:b/>
        </w:rPr>
        <w:tab/>
      </w:r>
      <w:r w:rsidRPr="00833A4A">
        <w:rPr>
          <w:rFonts w:asciiTheme="minorHAnsi" w:hAnsiTheme="minorHAnsi"/>
          <w:b/>
        </w:rPr>
        <w:tab/>
      </w:r>
      <w:r w:rsidR="005E1F4C" w:rsidRPr="00833A4A">
        <w:rPr>
          <w:rFonts w:asciiTheme="minorHAnsi" w:hAnsiTheme="minorHAnsi"/>
        </w:rPr>
        <w:t xml:space="preserve">Watch </w:t>
      </w:r>
      <w:r w:rsidR="00FE7F96" w:rsidRPr="00833A4A">
        <w:rPr>
          <w:rFonts w:asciiTheme="minorHAnsi" w:hAnsiTheme="minorHAnsi"/>
        </w:rPr>
        <w:t>Concern</w:t>
      </w:r>
    </w:p>
    <w:p w14:paraId="38102C99" w14:textId="77777777" w:rsidR="00F90CF3" w:rsidRPr="00833A4A" w:rsidRDefault="00F90CF3" w:rsidP="00833A4A">
      <w:pPr>
        <w:pStyle w:val="ListParagraph"/>
        <w:spacing w:before="120" w:after="60" w:line="276" w:lineRule="auto"/>
        <w:ind w:left="0"/>
        <w:jc w:val="both"/>
        <w:rPr>
          <w:rFonts w:asciiTheme="minorHAnsi" w:hAnsiTheme="minorHAnsi"/>
        </w:rPr>
      </w:pPr>
      <w:r w:rsidRPr="00833A4A">
        <w:rPr>
          <w:rFonts w:asciiTheme="minorHAnsi" w:hAnsiTheme="minorHAnsi"/>
          <w:b/>
        </w:rPr>
        <w:t xml:space="preserve">BRR </w:t>
      </w:r>
      <w:r w:rsidR="00026276" w:rsidRPr="00833A4A">
        <w:rPr>
          <w:rFonts w:asciiTheme="minorHAnsi" w:hAnsiTheme="minorHAnsi"/>
          <w:b/>
        </w:rPr>
        <w:t>8</w:t>
      </w:r>
      <w:r w:rsidRPr="00833A4A">
        <w:rPr>
          <w:rFonts w:asciiTheme="minorHAnsi" w:hAnsiTheme="minorHAnsi"/>
          <w:b/>
        </w:rPr>
        <w:tab/>
      </w:r>
      <w:r w:rsidRPr="00833A4A">
        <w:rPr>
          <w:rFonts w:asciiTheme="minorHAnsi" w:hAnsiTheme="minorHAnsi"/>
          <w:b/>
        </w:rPr>
        <w:tab/>
      </w:r>
      <w:r w:rsidRPr="00833A4A">
        <w:rPr>
          <w:rFonts w:asciiTheme="minorHAnsi" w:hAnsiTheme="minorHAnsi"/>
          <w:b/>
        </w:rPr>
        <w:tab/>
      </w:r>
      <w:r w:rsidR="00FE7F96" w:rsidRPr="00833A4A">
        <w:rPr>
          <w:rFonts w:asciiTheme="minorHAnsi" w:hAnsiTheme="minorHAnsi"/>
        </w:rPr>
        <w:t>Doubtful</w:t>
      </w:r>
    </w:p>
    <w:p w14:paraId="5F8BCB10" w14:textId="77777777" w:rsidR="00026276" w:rsidRPr="00833A4A" w:rsidRDefault="00F90CF3" w:rsidP="00833A4A">
      <w:pPr>
        <w:pStyle w:val="ListParagraph"/>
        <w:spacing w:before="120" w:after="60" w:line="276" w:lineRule="auto"/>
        <w:ind w:left="0"/>
        <w:jc w:val="both"/>
        <w:rPr>
          <w:rFonts w:asciiTheme="minorHAnsi" w:hAnsiTheme="minorHAnsi"/>
        </w:rPr>
      </w:pPr>
      <w:r w:rsidRPr="00833A4A">
        <w:rPr>
          <w:rFonts w:asciiTheme="minorHAnsi" w:hAnsiTheme="minorHAnsi"/>
          <w:b/>
        </w:rPr>
        <w:t>BRR</w:t>
      </w:r>
      <w:r w:rsidR="00026276" w:rsidRPr="00833A4A">
        <w:rPr>
          <w:rFonts w:asciiTheme="minorHAnsi" w:hAnsiTheme="minorHAnsi"/>
          <w:b/>
        </w:rPr>
        <w:t xml:space="preserve"> 9</w:t>
      </w:r>
      <w:r w:rsidR="00026276" w:rsidRPr="00833A4A">
        <w:rPr>
          <w:rFonts w:asciiTheme="minorHAnsi" w:hAnsiTheme="minorHAnsi"/>
          <w:b/>
        </w:rPr>
        <w:tab/>
      </w:r>
      <w:r w:rsidR="00026276" w:rsidRPr="00833A4A">
        <w:rPr>
          <w:rFonts w:asciiTheme="minorHAnsi" w:hAnsiTheme="minorHAnsi"/>
          <w:b/>
        </w:rPr>
        <w:tab/>
      </w:r>
      <w:r w:rsidRPr="00833A4A">
        <w:rPr>
          <w:rFonts w:asciiTheme="minorHAnsi" w:hAnsiTheme="minorHAnsi"/>
          <w:b/>
        </w:rPr>
        <w:tab/>
      </w:r>
      <w:r w:rsidR="00026276" w:rsidRPr="00833A4A">
        <w:rPr>
          <w:rFonts w:asciiTheme="minorHAnsi" w:hAnsiTheme="minorHAnsi"/>
        </w:rPr>
        <w:t>Impaired</w:t>
      </w:r>
    </w:p>
    <w:p w14:paraId="10FA0AB8" w14:textId="77777777" w:rsidR="00026276" w:rsidRPr="00833A4A" w:rsidRDefault="00026276" w:rsidP="00833A4A">
      <w:pPr>
        <w:pStyle w:val="ListParagraph"/>
        <w:spacing w:before="120" w:after="60" w:line="276" w:lineRule="auto"/>
        <w:ind w:left="2"/>
        <w:contextualSpacing w:val="0"/>
        <w:jc w:val="both"/>
        <w:rPr>
          <w:rFonts w:asciiTheme="minorHAnsi" w:hAnsiTheme="minorHAnsi"/>
        </w:rPr>
      </w:pPr>
      <w:r w:rsidRPr="00833A4A">
        <w:rPr>
          <w:rFonts w:asciiTheme="minorHAnsi" w:hAnsiTheme="minorHAnsi"/>
        </w:rPr>
        <w:t xml:space="preserve">The BRR </w:t>
      </w:r>
      <w:r w:rsidR="00290FD7" w:rsidRPr="00833A4A">
        <w:rPr>
          <w:rFonts w:asciiTheme="minorHAnsi" w:hAnsiTheme="minorHAnsi"/>
        </w:rPr>
        <w:t xml:space="preserve">is applied on a member basis on the whole credit relationship and </w:t>
      </w:r>
      <w:r w:rsidRPr="00833A4A">
        <w:rPr>
          <w:rFonts w:asciiTheme="minorHAnsi" w:hAnsiTheme="minorHAnsi"/>
        </w:rPr>
        <w:t xml:space="preserve">will be downgraded </w:t>
      </w:r>
      <w:r w:rsidR="00F77FAA" w:rsidRPr="00833A4A">
        <w:rPr>
          <w:rFonts w:asciiTheme="minorHAnsi" w:hAnsiTheme="minorHAnsi"/>
        </w:rPr>
        <w:t xml:space="preserve">when incremental </w:t>
      </w:r>
      <w:r w:rsidRPr="00833A4A">
        <w:rPr>
          <w:rFonts w:asciiTheme="minorHAnsi" w:hAnsiTheme="minorHAnsi"/>
        </w:rPr>
        <w:t xml:space="preserve">risk </w:t>
      </w:r>
      <w:r w:rsidR="00F77FAA" w:rsidRPr="00833A4A">
        <w:rPr>
          <w:rFonts w:asciiTheme="minorHAnsi" w:hAnsiTheme="minorHAnsi"/>
        </w:rPr>
        <w:t>is identified.</w:t>
      </w:r>
    </w:p>
    <w:p w14:paraId="6379E984" w14:textId="77777777" w:rsidR="00026276" w:rsidRPr="00833A4A" w:rsidRDefault="00026276" w:rsidP="00833A4A">
      <w:pPr>
        <w:pStyle w:val="ListParagraph"/>
        <w:spacing w:before="120" w:after="60" w:line="276" w:lineRule="auto"/>
        <w:ind w:left="2"/>
        <w:contextualSpacing w:val="0"/>
        <w:jc w:val="both"/>
        <w:rPr>
          <w:rFonts w:asciiTheme="minorHAnsi" w:hAnsiTheme="minorHAnsi"/>
        </w:rPr>
      </w:pPr>
      <w:r w:rsidRPr="00833A4A">
        <w:rPr>
          <w:rFonts w:asciiTheme="minorHAnsi" w:hAnsiTheme="minorHAnsi"/>
        </w:rPr>
        <w:t xml:space="preserve">A status report will be provided covering Watch </w:t>
      </w:r>
      <w:r w:rsidR="00FA1416" w:rsidRPr="00833A4A">
        <w:rPr>
          <w:rFonts w:asciiTheme="minorHAnsi" w:hAnsiTheme="minorHAnsi"/>
        </w:rPr>
        <w:t xml:space="preserve">(BRR 6 &amp; 7) </w:t>
      </w:r>
      <w:r w:rsidRPr="00833A4A">
        <w:rPr>
          <w:rFonts w:asciiTheme="minorHAnsi" w:hAnsiTheme="minorHAnsi"/>
        </w:rPr>
        <w:t xml:space="preserve">and </w:t>
      </w:r>
      <w:r w:rsidR="00FA1416" w:rsidRPr="00833A4A">
        <w:rPr>
          <w:rFonts w:asciiTheme="minorHAnsi" w:hAnsiTheme="minorHAnsi"/>
        </w:rPr>
        <w:t xml:space="preserve">Doubtful (BRR 8 &amp; 9) </w:t>
      </w:r>
      <w:r w:rsidRPr="00833A4A">
        <w:rPr>
          <w:rFonts w:asciiTheme="minorHAnsi" w:hAnsiTheme="minorHAnsi"/>
        </w:rPr>
        <w:t>loans for review by the MC</w:t>
      </w:r>
      <w:r w:rsidR="00C019B3" w:rsidRPr="00833A4A">
        <w:rPr>
          <w:rFonts w:asciiTheme="minorHAnsi" w:hAnsiTheme="minorHAnsi"/>
        </w:rPr>
        <w:t>C</w:t>
      </w:r>
      <w:r w:rsidR="00F77FAA" w:rsidRPr="00833A4A">
        <w:rPr>
          <w:rFonts w:asciiTheme="minorHAnsi" w:hAnsiTheme="minorHAnsi"/>
        </w:rPr>
        <w:t xml:space="preserve"> and Board </w:t>
      </w:r>
      <w:r w:rsidR="004F410A" w:rsidRPr="00833A4A">
        <w:rPr>
          <w:rFonts w:asciiTheme="minorHAnsi" w:hAnsiTheme="minorHAnsi"/>
        </w:rPr>
        <w:t xml:space="preserve">(Risk) </w:t>
      </w:r>
      <w:r w:rsidR="00F77FAA" w:rsidRPr="00833A4A">
        <w:rPr>
          <w:rFonts w:asciiTheme="minorHAnsi" w:hAnsiTheme="minorHAnsi"/>
        </w:rPr>
        <w:t>Committee</w:t>
      </w:r>
      <w:r w:rsidRPr="00833A4A">
        <w:rPr>
          <w:rFonts w:asciiTheme="minorHAnsi" w:hAnsiTheme="minorHAnsi"/>
        </w:rPr>
        <w:t xml:space="preserve"> at least quarterly.</w:t>
      </w:r>
      <w:r w:rsidR="00FA232E" w:rsidRPr="00833A4A">
        <w:rPr>
          <w:rFonts w:asciiTheme="minorHAnsi" w:hAnsiTheme="minorHAnsi"/>
        </w:rPr>
        <w:t xml:space="preserve"> A copy of the WATCH and Doubtful Loan report will be forward to CUDGC quarterly.</w:t>
      </w:r>
      <w:r w:rsidRPr="00833A4A">
        <w:rPr>
          <w:rFonts w:asciiTheme="minorHAnsi" w:hAnsiTheme="minorHAnsi"/>
        </w:rPr>
        <w:t xml:space="preserve"> </w:t>
      </w:r>
      <w:r w:rsidR="004D57BD" w:rsidRPr="00833A4A">
        <w:rPr>
          <w:rFonts w:asciiTheme="minorHAnsi" w:hAnsiTheme="minorHAnsi"/>
          <w:color w:val="2E74B5"/>
        </w:rPr>
        <w:fldChar w:fldCharType="begin"/>
      </w:r>
      <w:r w:rsidR="004D57BD" w:rsidRPr="00833A4A">
        <w:rPr>
          <w:rFonts w:asciiTheme="minorHAnsi" w:hAnsiTheme="minorHAnsi"/>
          <w:color w:val="2E74B5"/>
        </w:rPr>
        <w:instrText xml:space="preserve"> MACROBUTTON  AcceptAllChangesInDoc "Credit Union Name" </w:instrText>
      </w:r>
      <w:r w:rsidR="004D57BD" w:rsidRPr="00833A4A">
        <w:rPr>
          <w:rFonts w:asciiTheme="minorHAnsi" w:hAnsiTheme="minorHAnsi"/>
          <w:color w:val="2E74B5"/>
        </w:rPr>
        <w:fldChar w:fldCharType="end"/>
      </w:r>
      <w:r w:rsidRPr="00833A4A">
        <w:rPr>
          <w:rFonts w:asciiTheme="minorHAnsi" w:hAnsiTheme="minorHAnsi"/>
        </w:rPr>
        <w:t xml:space="preserve"> will monitor and report on the distribution of BRR, </w:t>
      </w:r>
      <w:r w:rsidR="00290FD7" w:rsidRPr="00833A4A">
        <w:rPr>
          <w:rFonts w:asciiTheme="minorHAnsi" w:hAnsiTheme="minorHAnsi"/>
        </w:rPr>
        <w:t xml:space="preserve">including outstanding exposure and trending </w:t>
      </w:r>
      <w:r w:rsidRPr="00833A4A">
        <w:rPr>
          <w:rFonts w:asciiTheme="minorHAnsi" w:hAnsiTheme="minorHAnsi"/>
        </w:rPr>
        <w:t>on a product basis</w:t>
      </w:r>
      <w:r w:rsidR="00F77FAA" w:rsidRPr="00833A4A">
        <w:rPr>
          <w:rFonts w:asciiTheme="minorHAnsi" w:hAnsiTheme="minorHAnsi"/>
        </w:rPr>
        <w:t xml:space="preserve"> (</w:t>
      </w:r>
      <w:r w:rsidRPr="00833A4A">
        <w:rPr>
          <w:rFonts w:asciiTheme="minorHAnsi" w:hAnsiTheme="minorHAnsi"/>
        </w:rPr>
        <w:t>Agriculture and Commercial loans</w:t>
      </w:r>
      <w:r w:rsidR="00F77FAA" w:rsidRPr="00833A4A">
        <w:rPr>
          <w:rFonts w:asciiTheme="minorHAnsi" w:hAnsiTheme="minorHAnsi"/>
        </w:rPr>
        <w:t>).</w:t>
      </w:r>
      <w:r w:rsidR="00FA1416" w:rsidRPr="00833A4A">
        <w:rPr>
          <w:rFonts w:asciiTheme="minorHAnsi" w:hAnsiTheme="minorHAnsi"/>
        </w:rPr>
        <w:t xml:space="preserve"> </w:t>
      </w:r>
    </w:p>
    <w:p w14:paraId="57006164" w14:textId="77777777" w:rsidR="00026276" w:rsidRPr="00392020" w:rsidRDefault="004F410A" w:rsidP="00392020">
      <w:pPr>
        <w:pStyle w:val="Heading1"/>
        <w:spacing w:line="276" w:lineRule="auto"/>
      </w:pPr>
      <w:bookmarkStart w:id="19" w:name="_Toc321901224"/>
      <w:bookmarkStart w:id="20" w:name="_Toc507416327"/>
      <w:r w:rsidRPr="00392020">
        <w:t>Credit Risk A</w:t>
      </w:r>
      <w:r w:rsidR="00026276" w:rsidRPr="00392020">
        <w:t>ssessment and Adjudication</w:t>
      </w:r>
      <w:bookmarkEnd w:id="19"/>
      <w:bookmarkEnd w:id="20"/>
    </w:p>
    <w:p w14:paraId="44A51D82" w14:textId="77777777" w:rsidR="00026276" w:rsidRPr="000859A6" w:rsidRDefault="00026276" w:rsidP="000859A6">
      <w:pPr>
        <w:pStyle w:val="ListParagraph"/>
        <w:spacing w:before="120" w:after="60" w:line="276" w:lineRule="auto"/>
        <w:ind w:left="0"/>
        <w:jc w:val="both"/>
        <w:rPr>
          <w:rFonts w:asciiTheme="minorHAnsi" w:hAnsiTheme="minorHAnsi"/>
        </w:rPr>
      </w:pPr>
      <w:r w:rsidRPr="000859A6">
        <w:rPr>
          <w:rFonts w:asciiTheme="minorHAnsi" w:hAnsiTheme="minorHAnsi"/>
        </w:rPr>
        <w:t>All requests for credit will be assessed based on the 5 C’s, including:</w:t>
      </w:r>
    </w:p>
    <w:p w14:paraId="0D69D873" w14:textId="77777777" w:rsidR="00026276" w:rsidRPr="000859A6" w:rsidRDefault="00026276" w:rsidP="000859A6">
      <w:pPr>
        <w:pStyle w:val="ListParagraph"/>
        <w:numPr>
          <w:ilvl w:val="0"/>
          <w:numId w:val="10"/>
        </w:numPr>
        <w:spacing w:before="120" w:after="60" w:line="276" w:lineRule="auto"/>
        <w:ind w:left="270" w:hanging="270"/>
        <w:jc w:val="both"/>
        <w:rPr>
          <w:rFonts w:asciiTheme="minorHAnsi" w:hAnsiTheme="minorHAnsi"/>
        </w:rPr>
      </w:pPr>
      <w:r w:rsidRPr="000859A6">
        <w:rPr>
          <w:rFonts w:asciiTheme="minorHAnsi" w:hAnsiTheme="minorHAnsi"/>
          <w:b/>
        </w:rPr>
        <w:t>Character</w:t>
      </w:r>
      <w:r w:rsidR="00F77FAA" w:rsidRPr="000859A6">
        <w:rPr>
          <w:rFonts w:asciiTheme="minorHAnsi" w:hAnsiTheme="minorHAnsi"/>
        </w:rPr>
        <w:t>:</w:t>
      </w:r>
      <w:r w:rsidR="00EE07D6" w:rsidRPr="000859A6">
        <w:rPr>
          <w:rFonts w:asciiTheme="minorHAnsi" w:hAnsiTheme="minorHAnsi"/>
        </w:rPr>
        <w:tab/>
        <w:t>M</w:t>
      </w:r>
      <w:r w:rsidRPr="000859A6">
        <w:rPr>
          <w:rFonts w:asciiTheme="minorHAnsi" w:hAnsiTheme="minorHAnsi"/>
        </w:rPr>
        <w:t>anagement</w:t>
      </w:r>
      <w:r w:rsidR="000859A6">
        <w:rPr>
          <w:rFonts w:asciiTheme="minorHAnsi" w:hAnsiTheme="minorHAnsi"/>
        </w:rPr>
        <w:t xml:space="preserve"> ability, financial strength(s)</w:t>
      </w:r>
    </w:p>
    <w:p w14:paraId="30A16D8C" w14:textId="77777777" w:rsidR="00A65774" w:rsidRPr="000859A6" w:rsidRDefault="00026276" w:rsidP="000859A6">
      <w:pPr>
        <w:pStyle w:val="ListParagraph"/>
        <w:numPr>
          <w:ilvl w:val="0"/>
          <w:numId w:val="10"/>
        </w:numPr>
        <w:tabs>
          <w:tab w:val="left" w:pos="284"/>
        </w:tabs>
        <w:spacing w:before="120" w:after="60" w:line="276" w:lineRule="auto"/>
        <w:ind w:left="0" w:firstLine="0"/>
        <w:jc w:val="both"/>
        <w:rPr>
          <w:rFonts w:asciiTheme="minorHAnsi" w:hAnsiTheme="minorHAnsi"/>
        </w:rPr>
      </w:pPr>
      <w:r w:rsidRPr="000859A6">
        <w:rPr>
          <w:rFonts w:asciiTheme="minorHAnsi" w:hAnsiTheme="minorHAnsi"/>
          <w:b/>
        </w:rPr>
        <w:t>Capacity</w:t>
      </w:r>
      <w:r w:rsidR="00F77FAA" w:rsidRPr="000859A6">
        <w:rPr>
          <w:rFonts w:asciiTheme="minorHAnsi" w:hAnsiTheme="minorHAnsi"/>
          <w:b/>
        </w:rPr>
        <w:t>:</w:t>
      </w:r>
      <w:r w:rsidR="00981626" w:rsidRPr="000859A6">
        <w:rPr>
          <w:rFonts w:asciiTheme="minorHAnsi" w:hAnsiTheme="minorHAnsi"/>
        </w:rPr>
        <w:tab/>
      </w:r>
      <w:r w:rsidR="00EE07D6" w:rsidRPr="000859A6">
        <w:rPr>
          <w:rFonts w:asciiTheme="minorHAnsi" w:hAnsiTheme="minorHAnsi"/>
        </w:rPr>
        <w:t>A</w:t>
      </w:r>
      <w:r w:rsidR="000859A6">
        <w:rPr>
          <w:rFonts w:asciiTheme="minorHAnsi" w:hAnsiTheme="minorHAnsi"/>
        </w:rPr>
        <w:t>bility to pay</w:t>
      </w:r>
    </w:p>
    <w:p w14:paraId="3BF46F6C" w14:textId="77777777" w:rsidR="00026276" w:rsidRPr="000859A6" w:rsidRDefault="00026276" w:rsidP="000859A6">
      <w:pPr>
        <w:pStyle w:val="ListParagraph"/>
        <w:numPr>
          <w:ilvl w:val="0"/>
          <w:numId w:val="10"/>
        </w:numPr>
        <w:tabs>
          <w:tab w:val="left" w:pos="284"/>
        </w:tabs>
        <w:spacing w:before="120" w:after="60" w:line="276" w:lineRule="auto"/>
        <w:ind w:left="1440" w:hanging="1440"/>
        <w:jc w:val="both"/>
        <w:rPr>
          <w:rFonts w:asciiTheme="minorHAnsi" w:hAnsiTheme="minorHAnsi"/>
        </w:rPr>
      </w:pPr>
      <w:r w:rsidRPr="000859A6">
        <w:rPr>
          <w:rFonts w:asciiTheme="minorHAnsi" w:hAnsiTheme="minorHAnsi"/>
          <w:b/>
        </w:rPr>
        <w:t>Collateral</w:t>
      </w:r>
      <w:r w:rsidR="00F77FAA" w:rsidRPr="000859A6">
        <w:rPr>
          <w:rFonts w:asciiTheme="minorHAnsi" w:hAnsiTheme="minorHAnsi"/>
          <w:b/>
        </w:rPr>
        <w:t>:</w:t>
      </w:r>
      <w:r w:rsidR="000859A6">
        <w:rPr>
          <w:rFonts w:asciiTheme="minorHAnsi" w:hAnsiTheme="minorHAnsi"/>
          <w:b/>
        </w:rPr>
        <w:tab/>
      </w:r>
      <w:r w:rsidR="00EE07D6" w:rsidRPr="000859A6">
        <w:rPr>
          <w:rFonts w:asciiTheme="minorHAnsi" w:hAnsiTheme="minorHAnsi"/>
        </w:rPr>
        <w:t>A</w:t>
      </w:r>
      <w:r w:rsidRPr="000859A6">
        <w:rPr>
          <w:rFonts w:asciiTheme="minorHAnsi" w:hAnsiTheme="minorHAnsi"/>
        </w:rPr>
        <w:t xml:space="preserve">ppropriate security based on </w:t>
      </w:r>
      <w:r w:rsidR="004D57BD" w:rsidRPr="000859A6">
        <w:rPr>
          <w:rFonts w:asciiTheme="minorHAnsi" w:hAnsiTheme="minorHAnsi"/>
          <w:color w:val="2E74B5"/>
        </w:rPr>
        <w:fldChar w:fldCharType="begin"/>
      </w:r>
      <w:r w:rsidR="004D57BD" w:rsidRPr="000859A6">
        <w:rPr>
          <w:rFonts w:asciiTheme="minorHAnsi" w:hAnsiTheme="minorHAnsi"/>
          <w:color w:val="2E74B5"/>
        </w:rPr>
        <w:instrText xml:space="preserve"> MACROBUTTON  AcceptAllChangesInDoc "CU Short Name" </w:instrText>
      </w:r>
      <w:r w:rsidR="004D57BD" w:rsidRPr="000859A6">
        <w:rPr>
          <w:rFonts w:asciiTheme="minorHAnsi" w:hAnsiTheme="minorHAnsi"/>
          <w:color w:val="2E74B5"/>
        </w:rPr>
        <w:fldChar w:fldCharType="end"/>
      </w:r>
      <w:r w:rsidRPr="000859A6">
        <w:rPr>
          <w:rFonts w:asciiTheme="minorHAnsi" w:hAnsiTheme="minorHAnsi"/>
        </w:rPr>
        <w:t xml:space="preserve"> policy and </w:t>
      </w:r>
      <w:r w:rsidR="00433148" w:rsidRPr="000859A6">
        <w:rPr>
          <w:rFonts w:asciiTheme="minorHAnsi" w:hAnsiTheme="minorHAnsi"/>
        </w:rPr>
        <w:t>guidelines</w:t>
      </w:r>
      <w:r w:rsidRPr="000859A6">
        <w:rPr>
          <w:rFonts w:asciiTheme="minorHAnsi" w:hAnsiTheme="minorHAnsi"/>
        </w:rPr>
        <w:t xml:space="preserve">, which will be consistent with CUDGC </w:t>
      </w:r>
      <w:r w:rsidR="00433148" w:rsidRPr="000859A6">
        <w:rPr>
          <w:rFonts w:asciiTheme="minorHAnsi" w:hAnsiTheme="minorHAnsi"/>
        </w:rPr>
        <w:t>Lending Guidelines</w:t>
      </w:r>
      <w:r w:rsidRPr="000859A6">
        <w:rPr>
          <w:rFonts w:asciiTheme="minorHAnsi" w:hAnsiTheme="minorHAnsi"/>
        </w:rPr>
        <w:t>, where appropriate</w:t>
      </w:r>
    </w:p>
    <w:p w14:paraId="2B635ABA" w14:textId="77777777" w:rsidR="00026276" w:rsidRPr="000859A6" w:rsidRDefault="00026276" w:rsidP="000859A6">
      <w:pPr>
        <w:pStyle w:val="ListParagraph"/>
        <w:numPr>
          <w:ilvl w:val="0"/>
          <w:numId w:val="10"/>
        </w:numPr>
        <w:spacing w:before="120" w:after="60" w:line="276" w:lineRule="auto"/>
        <w:ind w:left="270" w:hanging="270"/>
        <w:jc w:val="both"/>
        <w:rPr>
          <w:rFonts w:asciiTheme="minorHAnsi" w:hAnsiTheme="minorHAnsi"/>
        </w:rPr>
      </w:pPr>
      <w:r w:rsidRPr="000859A6">
        <w:rPr>
          <w:rFonts w:asciiTheme="minorHAnsi" w:hAnsiTheme="minorHAnsi"/>
          <w:b/>
        </w:rPr>
        <w:t>Conditions</w:t>
      </w:r>
      <w:r w:rsidR="00F77FAA" w:rsidRPr="000859A6">
        <w:rPr>
          <w:rFonts w:asciiTheme="minorHAnsi" w:hAnsiTheme="minorHAnsi"/>
        </w:rPr>
        <w:t>:</w:t>
      </w:r>
      <w:r w:rsidR="00F77FAA" w:rsidRPr="000859A6">
        <w:rPr>
          <w:rFonts w:asciiTheme="minorHAnsi" w:hAnsiTheme="minorHAnsi"/>
        </w:rPr>
        <w:tab/>
      </w:r>
      <w:r w:rsidR="00EE07D6" w:rsidRPr="000859A6">
        <w:rPr>
          <w:rFonts w:asciiTheme="minorHAnsi" w:hAnsiTheme="minorHAnsi"/>
        </w:rPr>
        <w:t>C</w:t>
      </w:r>
      <w:r w:rsidRPr="000859A6">
        <w:rPr>
          <w:rFonts w:asciiTheme="minorHAnsi" w:hAnsiTheme="minorHAnsi"/>
        </w:rPr>
        <w:t xml:space="preserve">redit structure, credit environment, </w:t>
      </w:r>
      <w:r w:rsidR="004D57BD" w:rsidRPr="000859A6">
        <w:rPr>
          <w:rFonts w:asciiTheme="minorHAnsi" w:hAnsiTheme="minorHAnsi"/>
          <w:color w:val="2E74B5"/>
        </w:rPr>
        <w:fldChar w:fldCharType="begin"/>
      </w:r>
      <w:r w:rsidR="004D57BD" w:rsidRPr="000859A6">
        <w:rPr>
          <w:rFonts w:asciiTheme="minorHAnsi" w:hAnsiTheme="minorHAnsi"/>
          <w:color w:val="2E74B5"/>
        </w:rPr>
        <w:instrText xml:space="preserve"> MACROBUTTON  AcceptAllChangesInDoc "CU Short Name" </w:instrText>
      </w:r>
      <w:r w:rsidR="004D57BD" w:rsidRPr="000859A6">
        <w:rPr>
          <w:rFonts w:asciiTheme="minorHAnsi" w:hAnsiTheme="minorHAnsi"/>
          <w:color w:val="2E74B5"/>
        </w:rPr>
        <w:fldChar w:fldCharType="end"/>
      </w:r>
      <w:r w:rsidRPr="000859A6">
        <w:rPr>
          <w:rFonts w:asciiTheme="minorHAnsi" w:hAnsiTheme="minorHAnsi"/>
        </w:rPr>
        <w:t xml:space="preserve"> risk appetite</w:t>
      </w:r>
    </w:p>
    <w:p w14:paraId="1D9C58E8" w14:textId="77777777" w:rsidR="00026276" w:rsidRPr="000859A6" w:rsidRDefault="00026276" w:rsidP="000859A6">
      <w:pPr>
        <w:pStyle w:val="ListParagraph"/>
        <w:numPr>
          <w:ilvl w:val="0"/>
          <w:numId w:val="10"/>
        </w:numPr>
        <w:spacing w:before="120" w:after="60" w:line="276" w:lineRule="auto"/>
        <w:ind w:left="270" w:hanging="270"/>
        <w:jc w:val="both"/>
        <w:rPr>
          <w:rFonts w:asciiTheme="minorHAnsi" w:hAnsiTheme="minorHAnsi"/>
        </w:rPr>
      </w:pPr>
      <w:r w:rsidRPr="000859A6">
        <w:rPr>
          <w:rFonts w:asciiTheme="minorHAnsi" w:hAnsiTheme="minorHAnsi"/>
          <w:b/>
        </w:rPr>
        <w:t>Credit</w:t>
      </w:r>
      <w:r w:rsidR="00F77FAA" w:rsidRPr="000859A6">
        <w:rPr>
          <w:rFonts w:asciiTheme="minorHAnsi" w:hAnsiTheme="minorHAnsi"/>
          <w:b/>
        </w:rPr>
        <w:t>:</w:t>
      </w:r>
      <w:r w:rsidR="00F77FAA" w:rsidRPr="000859A6">
        <w:rPr>
          <w:rFonts w:asciiTheme="minorHAnsi" w:hAnsiTheme="minorHAnsi"/>
          <w:b/>
        </w:rPr>
        <w:tab/>
      </w:r>
      <w:r w:rsidR="00EE07D6" w:rsidRPr="000859A6">
        <w:rPr>
          <w:rFonts w:asciiTheme="minorHAnsi" w:hAnsiTheme="minorHAnsi"/>
        </w:rPr>
        <w:t>C</w:t>
      </w:r>
      <w:r w:rsidRPr="000859A6">
        <w:rPr>
          <w:rFonts w:asciiTheme="minorHAnsi" w:hAnsiTheme="minorHAnsi"/>
        </w:rPr>
        <w:t>redit history</w:t>
      </w:r>
      <w:r w:rsidR="0053683B" w:rsidRPr="000859A6">
        <w:rPr>
          <w:rFonts w:asciiTheme="minorHAnsi" w:hAnsiTheme="minorHAnsi"/>
        </w:rPr>
        <w:t>.</w:t>
      </w:r>
    </w:p>
    <w:p w14:paraId="120B6CC3" w14:textId="77777777" w:rsidR="00026276" w:rsidRPr="000859A6" w:rsidRDefault="00026276"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 xml:space="preserve">All requests for credit must comply with </w:t>
      </w:r>
      <w:r w:rsidR="004D57BD" w:rsidRPr="000859A6">
        <w:rPr>
          <w:rFonts w:asciiTheme="minorHAnsi" w:hAnsiTheme="minorHAnsi"/>
          <w:color w:val="2E74B5"/>
        </w:rPr>
        <w:fldChar w:fldCharType="begin"/>
      </w:r>
      <w:r w:rsidR="004D57BD" w:rsidRPr="000859A6">
        <w:rPr>
          <w:rFonts w:asciiTheme="minorHAnsi" w:hAnsiTheme="minorHAnsi"/>
          <w:color w:val="2E74B5"/>
        </w:rPr>
        <w:instrText xml:space="preserve"> MACROBUTTON  AcceptAllChangesInDoc "Credit Union Name" </w:instrText>
      </w:r>
      <w:r w:rsidR="004D57BD" w:rsidRPr="000859A6">
        <w:rPr>
          <w:rFonts w:asciiTheme="minorHAnsi" w:hAnsiTheme="minorHAnsi"/>
          <w:color w:val="2E74B5"/>
        </w:rPr>
        <w:fldChar w:fldCharType="end"/>
      </w:r>
      <w:r w:rsidRPr="000859A6">
        <w:rPr>
          <w:rFonts w:asciiTheme="minorHAnsi" w:hAnsiTheme="minorHAnsi"/>
        </w:rPr>
        <w:t xml:space="preserve"> policy and guidelines and where allowed, exceptions will be highlighted, mitigated</w:t>
      </w:r>
      <w:r w:rsidR="00EE07D6" w:rsidRPr="000859A6">
        <w:rPr>
          <w:rFonts w:asciiTheme="minorHAnsi" w:hAnsiTheme="minorHAnsi"/>
        </w:rPr>
        <w:t>, authorized</w:t>
      </w:r>
      <w:r w:rsidRPr="000859A6">
        <w:rPr>
          <w:rFonts w:asciiTheme="minorHAnsi" w:hAnsiTheme="minorHAnsi"/>
        </w:rPr>
        <w:t xml:space="preserve"> and monitored.</w:t>
      </w:r>
    </w:p>
    <w:p w14:paraId="5B583C52" w14:textId="77777777" w:rsidR="00026276" w:rsidRPr="000859A6" w:rsidRDefault="00026276"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Credit approval will be contained within assigned credit authorization limits, which will be subject to</w:t>
      </w:r>
      <w:r w:rsidR="00275503" w:rsidRPr="000859A6">
        <w:rPr>
          <w:rFonts w:asciiTheme="minorHAnsi" w:hAnsiTheme="minorHAnsi"/>
        </w:rPr>
        <w:t xml:space="preserve"> periodic review by the Credit d</w:t>
      </w:r>
      <w:r w:rsidRPr="000859A6">
        <w:rPr>
          <w:rFonts w:asciiTheme="minorHAnsi" w:hAnsiTheme="minorHAnsi"/>
        </w:rPr>
        <w:t xml:space="preserve">epartment. All credits forward to Credit department for </w:t>
      </w:r>
      <w:r w:rsidR="004534D7" w:rsidRPr="000859A6">
        <w:rPr>
          <w:rFonts w:asciiTheme="minorHAnsi" w:hAnsiTheme="minorHAnsi"/>
        </w:rPr>
        <w:t>adjudication</w:t>
      </w:r>
      <w:r w:rsidRPr="000859A6">
        <w:rPr>
          <w:rFonts w:asciiTheme="minorHAnsi" w:hAnsiTheme="minorHAnsi"/>
        </w:rPr>
        <w:t xml:space="preserve"> must have the support and full recommendation of the Commercial/Retail Sales Departments. The originating officers and those who recommend approval to higher authority levels maintain accountability fo</w:t>
      </w:r>
      <w:r w:rsidR="000859A6">
        <w:rPr>
          <w:rFonts w:asciiTheme="minorHAnsi" w:hAnsiTheme="minorHAnsi"/>
        </w:rPr>
        <w:t>r the ultimate credit decision.</w:t>
      </w:r>
    </w:p>
    <w:p w14:paraId="630EFA91" w14:textId="77777777" w:rsidR="00026276" w:rsidRPr="000859A6" w:rsidRDefault="00026276"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 xml:space="preserve">Assigned credit authorization limits will be subject to connected account requirements within the Credit Union Act, Regulations and CUDGC </w:t>
      </w:r>
      <w:r w:rsidR="00BE2E20" w:rsidRPr="000859A6">
        <w:rPr>
          <w:rFonts w:asciiTheme="minorHAnsi" w:hAnsiTheme="minorHAnsi"/>
        </w:rPr>
        <w:t>Lending Guidelines</w:t>
      </w:r>
      <w:r w:rsidR="00EE07D6" w:rsidRPr="000859A6">
        <w:rPr>
          <w:rFonts w:asciiTheme="minorHAnsi" w:hAnsiTheme="minorHAnsi"/>
        </w:rPr>
        <w:t>.</w:t>
      </w:r>
    </w:p>
    <w:p w14:paraId="50AF7247" w14:textId="77777777" w:rsidR="00026276" w:rsidRPr="000859A6" w:rsidRDefault="00026276"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Credit decline</w:t>
      </w:r>
      <w:r w:rsidR="00DA18F6" w:rsidRPr="000859A6">
        <w:rPr>
          <w:rFonts w:asciiTheme="minorHAnsi" w:hAnsiTheme="minorHAnsi"/>
        </w:rPr>
        <w:t xml:space="preserve"> decisions</w:t>
      </w:r>
      <w:r w:rsidR="006D5A06" w:rsidRPr="000859A6">
        <w:rPr>
          <w:rFonts w:asciiTheme="minorHAnsi" w:hAnsiTheme="minorHAnsi"/>
        </w:rPr>
        <w:t xml:space="preserve">, below the </w:t>
      </w:r>
      <w:r w:rsidR="00290FD7" w:rsidRPr="000859A6">
        <w:rPr>
          <w:rFonts w:asciiTheme="minorHAnsi" w:hAnsiTheme="minorHAnsi"/>
        </w:rPr>
        <w:t xml:space="preserve">lending </w:t>
      </w:r>
      <w:r w:rsidR="006D5A06" w:rsidRPr="000859A6">
        <w:rPr>
          <w:rFonts w:asciiTheme="minorHAnsi" w:hAnsiTheme="minorHAnsi"/>
        </w:rPr>
        <w:t xml:space="preserve">limit authorized for the </w:t>
      </w:r>
      <w:r w:rsidR="00290FD7" w:rsidRPr="000859A6">
        <w:rPr>
          <w:rFonts w:asciiTheme="minorHAnsi" w:hAnsiTheme="minorHAnsi"/>
        </w:rPr>
        <w:t>Senior</w:t>
      </w:r>
      <w:r w:rsidR="006D5A06" w:rsidRPr="000859A6">
        <w:rPr>
          <w:rFonts w:asciiTheme="minorHAnsi" w:hAnsiTheme="minorHAnsi"/>
        </w:rPr>
        <w:t xml:space="preserve"> Credit Officer, </w:t>
      </w:r>
      <w:r w:rsidRPr="000859A6">
        <w:rPr>
          <w:rFonts w:asciiTheme="minorHAnsi" w:hAnsiTheme="minorHAnsi"/>
        </w:rPr>
        <w:t>will be subject to confirmation by a “one-up” level credit authority.</w:t>
      </w:r>
    </w:p>
    <w:p w14:paraId="75BFF351" w14:textId="77777777" w:rsidR="00026276" w:rsidRPr="000859A6" w:rsidRDefault="00026276"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 xml:space="preserve">Syndication lending will be subject to a full credit assessment and due diligence investigation, independent of decisioning made by the syndication leader. The </w:t>
      </w:r>
      <w:r w:rsidRPr="000859A6">
        <w:rPr>
          <w:rStyle w:val="ms-rtecustom-lgp"/>
          <w:rFonts w:asciiTheme="minorHAnsi" w:hAnsiTheme="minorHAnsi"/>
          <w:color w:val="000000"/>
        </w:rPr>
        <w:t>Credit Union Act requires CUDGC credit approval for syndications where the aggregate loan amounts exceed any one of the participating credit union's lending limits.</w:t>
      </w:r>
    </w:p>
    <w:p w14:paraId="5FE66F59" w14:textId="77777777" w:rsidR="00026276" w:rsidRPr="000859A6" w:rsidRDefault="00026276"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lastRenderedPageBreak/>
        <w:t xml:space="preserve">All non-consumer loans will be subject to a minimum annual review, </w:t>
      </w:r>
      <w:r w:rsidR="003E3D8E" w:rsidRPr="000859A6">
        <w:rPr>
          <w:rFonts w:asciiTheme="minorHAnsi" w:hAnsiTheme="minorHAnsi"/>
        </w:rPr>
        <w:t>as per the following policy section under “Credit Administration”, unless specifically ex</w:t>
      </w:r>
      <w:r w:rsidR="005922AF" w:rsidRPr="000859A6">
        <w:rPr>
          <w:rFonts w:asciiTheme="minorHAnsi" w:hAnsiTheme="minorHAnsi"/>
        </w:rPr>
        <w:t>empted</w:t>
      </w:r>
      <w:r w:rsidR="003E3D8E" w:rsidRPr="000859A6">
        <w:rPr>
          <w:rFonts w:asciiTheme="minorHAnsi" w:hAnsiTheme="minorHAnsi"/>
        </w:rPr>
        <w:t xml:space="preserve"> by the appropriate </w:t>
      </w:r>
      <w:r w:rsidR="005922AF" w:rsidRPr="000859A6">
        <w:rPr>
          <w:rFonts w:asciiTheme="minorHAnsi" w:hAnsiTheme="minorHAnsi"/>
        </w:rPr>
        <w:t>exception</w:t>
      </w:r>
      <w:r w:rsidR="000240DF" w:rsidRPr="000859A6">
        <w:rPr>
          <w:rFonts w:asciiTheme="minorHAnsi" w:hAnsiTheme="minorHAnsi"/>
        </w:rPr>
        <w:t xml:space="preserve"> and BRR</w:t>
      </w:r>
      <w:r w:rsidR="005922AF" w:rsidRPr="000859A6">
        <w:rPr>
          <w:rFonts w:asciiTheme="minorHAnsi" w:hAnsiTheme="minorHAnsi"/>
        </w:rPr>
        <w:t xml:space="preserve"> </w:t>
      </w:r>
      <w:r w:rsidR="003E3D8E" w:rsidRPr="000859A6">
        <w:rPr>
          <w:rFonts w:asciiTheme="minorHAnsi" w:hAnsiTheme="minorHAnsi"/>
        </w:rPr>
        <w:t>level f</w:t>
      </w:r>
      <w:r w:rsidR="00F6623A" w:rsidRPr="000859A6">
        <w:rPr>
          <w:rFonts w:asciiTheme="minorHAnsi" w:hAnsiTheme="minorHAnsi"/>
        </w:rPr>
        <w:t>or</w:t>
      </w:r>
      <w:r w:rsidR="003E3D8E" w:rsidRPr="000859A6">
        <w:rPr>
          <w:rFonts w:asciiTheme="minorHAnsi" w:hAnsiTheme="minorHAnsi"/>
        </w:rPr>
        <w:t xml:space="preserve"> credit authority.</w:t>
      </w:r>
    </w:p>
    <w:p w14:paraId="264A8C2A" w14:textId="77777777" w:rsidR="00026276" w:rsidRPr="00392020" w:rsidRDefault="00026276" w:rsidP="00392020">
      <w:pPr>
        <w:pStyle w:val="Heading1"/>
        <w:spacing w:line="276" w:lineRule="auto"/>
      </w:pPr>
      <w:bookmarkStart w:id="21" w:name="_Toc321901225"/>
      <w:bookmarkStart w:id="22" w:name="_Toc507416328"/>
      <w:r w:rsidRPr="00392020">
        <w:t>Special Borrowing Classes</w:t>
      </w:r>
      <w:bookmarkEnd w:id="21"/>
      <w:bookmarkEnd w:id="22"/>
    </w:p>
    <w:p w14:paraId="14EFF124" w14:textId="77777777" w:rsidR="00026276" w:rsidRPr="00392020" w:rsidRDefault="005E1F4C" w:rsidP="00392020">
      <w:pPr>
        <w:pStyle w:val="Heading2"/>
        <w:spacing w:before="120" w:line="276" w:lineRule="auto"/>
        <w:jc w:val="both"/>
        <w:rPr>
          <w:rFonts w:asciiTheme="minorHAnsi" w:hAnsiTheme="minorHAnsi"/>
          <w:sz w:val="24"/>
          <w:szCs w:val="24"/>
        </w:rPr>
      </w:pPr>
      <w:bookmarkStart w:id="23" w:name="_Toc321901226"/>
      <w:bookmarkStart w:id="24" w:name="_Toc507416329"/>
      <w:r w:rsidRPr="00392020">
        <w:rPr>
          <w:rFonts w:asciiTheme="minorHAnsi" w:hAnsiTheme="minorHAnsi"/>
          <w:sz w:val="24"/>
          <w:szCs w:val="24"/>
        </w:rPr>
        <w:t xml:space="preserve">Direct, </w:t>
      </w:r>
      <w:r w:rsidR="00026276" w:rsidRPr="00392020">
        <w:rPr>
          <w:rFonts w:asciiTheme="minorHAnsi" w:hAnsiTheme="minorHAnsi"/>
          <w:sz w:val="24"/>
          <w:szCs w:val="24"/>
        </w:rPr>
        <w:t>Connected &amp; Related Borrowings</w:t>
      </w:r>
      <w:bookmarkEnd w:id="23"/>
      <w:bookmarkEnd w:id="24"/>
    </w:p>
    <w:p w14:paraId="5402A94D" w14:textId="77777777" w:rsidR="00026276" w:rsidRPr="000859A6" w:rsidRDefault="00026276" w:rsidP="000859A6">
      <w:pPr>
        <w:pStyle w:val="ListParagraph"/>
        <w:spacing w:before="120" w:after="60" w:line="276" w:lineRule="auto"/>
        <w:ind w:left="0"/>
        <w:contextualSpacing w:val="0"/>
        <w:jc w:val="both"/>
        <w:rPr>
          <w:rFonts w:asciiTheme="minorHAnsi" w:hAnsiTheme="minorHAnsi"/>
          <w:i/>
          <w:color w:val="5B9BD5"/>
        </w:rPr>
      </w:pPr>
      <w:r w:rsidRPr="000859A6">
        <w:rPr>
          <w:rFonts w:asciiTheme="minorHAnsi" w:hAnsiTheme="minorHAnsi"/>
        </w:rPr>
        <w:t xml:space="preserve">Credit authorization limits will be applied to the aggregate direct and connected loan exposure as defined </w:t>
      </w:r>
      <w:r w:rsidR="009B517E" w:rsidRPr="000859A6">
        <w:rPr>
          <w:rFonts w:asciiTheme="minorHAnsi" w:hAnsiTheme="minorHAnsi"/>
        </w:rPr>
        <w:t>i</w:t>
      </w:r>
      <w:r w:rsidRPr="000859A6">
        <w:rPr>
          <w:rFonts w:asciiTheme="minorHAnsi" w:hAnsiTheme="minorHAnsi"/>
        </w:rPr>
        <w:t xml:space="preserve">n the Credit Union Act, Regulations and CUDGC </w:t>
      </w:r>
      <w:r w:rsidR="00BE2E20" w:rsidRPr="000859A6">
        <w:rPr>
          <w:rFonts w:asciiTheme="minorHAnsi" w:hAnsiTheme="minorHAnsi"/>
        </w:rPr>
        <w:t>Lending Guidelines</w:t>
      </w:r>
      <w:r w:rsidRPr="000859A6">
        <w:rPr>
          <w:rFonts w:asciiTheme="minorHAnsi" w:hAnsiTheme="minorHAnsi"/>
        </w:rPr>
        <w:t>.</w:t>
      </w:r>
      <w:r w:rsidR="008A7C35" w:rsidRPr="000859A6">
        <w:rPr>
          <w:rFonts w:asciiTheme="minorHAnsi" w:hAnsiTheme="minorHAnsi"/>
        </w:rPr>
        <w:t xml:space="preserve"> </w:t>
      </w:r>
      <w:r w:rsidR="008A7C35" w:rsidRPr="000859A6">
        <w:rPr>
          <w:rFonts w:asciiTheme="minorHAnsi" w:hAnsiTheme="minorHAnsi"/>
          <w:b/>
        </w:rPr>
        <w:t>Maximum $</w:t>
      </w:r>
      <w:r w:rsidR="008A7C35" w:rsidRPr="000859A6">
        <w:rPr>
          <w:rFonts w:asciiTheme="minorHAnsi" w:hAnsiTheme="minorHAnsi"/>
          <w:b/>
          <w:color w:val="2E74B5"/>
        </w:rPr>
        <w:t>X</w:t>
      </w:r>
      <w:r w:rsidR="008A7C35" w:rsidRPr="000859A6">
        <w:rPr>
          <w:rFonts w:asciiTheme="minorHAnsi" w:hAnsiTheme="minorHAnsi"/>
          <w:b/>
        </w:rPr>
        <w:t xml:space="preserve"> (</w:t>
      </w:r>
      <w:r w:rsidR="008A7C35" w:rsidRPr="000859A6">
        <w:rPr>
          <w:rFonts w:asciiTheme="minorHAnsi" w:hAnsiTheme="minorHAnsi"/>
          <w:b/>
          <w:color w:val="2E74B5"/>
        </w:rPr>
        <w:t>X</w:t>
      </w:r>
      <w:r w:rsidR="008A7C35" w:rsidRPr="000859A6">
        <w:rPr>
          <w:rFonts w:asciiTheme="minorHAnsi" w:hAnsiTheme="minorHAnsi"/>
          <w:b/>
        </w:rPr>
        <w:t xml:space="preserve"> % Available Capital).</w:t>
      </w:r>
      <w:r w:rsidR="008A7C35" w:rsidRPr="000859A6">
        <w:rPr>
          <w:rFonts w:asciiTheme="minorHAnsi" w:hAnsiTheme="minorHAnsi"/>
        </w:rPr>
        <w:t xml:space="preserve"> </w:t>
      </w:r>
      <w:r w:rsidR="008A7C35" w:rsidRPr="000859A6">
        <w:rPr>
          <w:rFonts w:asciiTheme="minorHAnsi" w:hAnsiTheme="minorHAnsi"/>
          <w:i/>
          <w:color w:val="5B9BD5"/>
        </w:rPr>
        <w:t xml:space="preserve">The Board risk appetite should consider direct and connected exposure limits lower than the </w:t>
      </w:r>
      <w:r w:rsidR="00D935A8" w:rsidRPr="000859A6">
        <w:rPr>
          <w:rFonts w:asciiTheme="minorHAnsi" w:hAnsiTheme="minorHAnsi"/>
          <w:i/>
          <w:color w:val="5B9BD5"/>
        </w:rPr>
        <w:t>regulatory</w:t>
      </w:r>
      <w:r w:rsidR="008A7C35" w:rsidRPr="000859A6">
        <w:rPr>
          <w:rFonts w:asciiTheme="minorHAnsi" w:hAnsiTheme="minorHAnsi"/>
          <w:i/>
          <w:color w:val="5B9BD5"/>
        </w:rPr>
        <w:t xml:space="preserve"> maximum.</w:t>
      </w:r>
    </w:p>
    <w:p w14:paraId="0525C3CC" w14:textId="77777777" w:rsidR="008A7C35" w:rsidRPr="000859A6" w:rsidRDefault="008A7C35" w:rsidP="000859A6">
      <w:pPr>
        <w:spacing w:before="120" w:after="60" w:line="276" w:lineRule="auto"/>
        <w:rPr>
          <w:rFonts w:asciiTheme="minorHAnsi" w:hAnsiTheme="minorHAnsi"/>
          <w:szCs w:val="22"/>
        </w:rPr>
      </w:pPr>
      <w:r w:rsidRPr="000859A6">
        <w:rPr>
          <w:rFonts w:asciiTheme="minorHAnsi" w:hAnsiTheme="minorHAnsi"/>
          <w:szCs w:val="22"/>
        </w:rPr>
        <w:t xml:space="preserve">Group (Direct, Connected and Related) </w:t>
      </w:r>
      <w:r w:rsidRPr="000859A6">
        <w:rPr>
          <w:rFonts w:asciiTheme="minorHAnsi" w:hAnsiTheme="minorHAnsi"/>
          <w:b/>
          <w:szCs w:val="22"/>
        </w:rPr>
        <w:t>Maximum $</w:t>
      </w:r>
      <w:r w:rsidRPr="000859A6">
        <w:rPr>
          <w:rFonts w:asciiTheme="minorHAnsi" w:hAnsiTheme="minorHAnsi"/>
          <w:b/>
          <w:color w:val="2E74B5"/>
          <w:szCs w:val="22"/>
        </w:rPr>
        <w:t>X</w:t>
      </w:r>
      <w:r w:rsidRPr="000859A6">
        <w:rPr>
          <w:rFonts w:asciiTheme="minorHAnsi" w:hAnsiTheme="minorHAnsi"/>
          <w:b/>
          <w:szCs w:val="22"/>
        </w:rPr>
        <w:t xml:space="preserve"> (</w:t>
      </w:r>
      <w:r w:rsidRPr="000859A6">
        <w:rPr>
          <w:rFonts w:asciiTheme="minorHAnsi" w:hAnsiTheme="minorHAnsi"/>
          <w:b/>
          <w:color w:val="2E74B5"/>
          <w:szCs w:val="22"/>
        </w:rPr>
        <w:t>X</w:t>
      </w:r>
      <w:r w:rsidRPr="000859A6">
        <w:rPr>
          <w:rFonts w:asciiTheme="minorHAnsi" w:hAnsiTheme="minorHAnsi"/>
          <w:b/>
          <w:szCs w:val="22"/>
        </w:rPr>
        <w:t xml:space="preserve"> % Available Capital)</w:t>
      </w:r>
      <w:r w:rsidR="000859A6">
        <w:rPr>
          <w:rFonts w:asciiTheme="minorHAnsi" w:hAnsiTheme="minorHAnsi"/>
          <w:b/>
          <w:szCs w:val="22"/>
        </w:rPr>
        <w:t>.</w:t>
      </w:r>
    </w:p>
    <w:p w14:paraId="14D50DE7" w14:textId="77777777" w:rsidR="008A7C35" w:rsidRPr="000859A6" w:rsidRDefault="008A7C35" w:rsidP="000859A6">
      <w:pPr>
        <w:spacing w:before="120" w:after="60" w:line="276" w:lineRule="auto"/>
        <w:rPr>
          <w:rFonts w:asciiTheme="minorHAnsi" w:hAnsiTheme="minorHAnsi"/>
          <w:szCs w:val="22"/>
        </w:rPr>
      </w:pPr>
      <w:r w:rsidRPr="000859A6">
        <w:rPr>
          <w:rFonts w:asciiTheme="minorHAnsi" w:hAnsiTheme="minorHAnsi"/>
          <w:szCs w:val="22"/>
        </w:rPr>
        <w:t>Residential Mortgage Loans:</w:t>
      </w:r>
      <w:r w:rsidRPr="000859A6">
        <w:rPr>
          <w:rFonts w:asciiTheme="minorHAnsi" w:hAnsiTheme="minorHAnsi"/>
          <w:szCs w:val="22"/>
        </w:rPr>
        <w:tab/>
      </w:r>
      <w:r w:rsidRPr="000859A6">
        <w:rPr>
          <w:rFonts w:asciiTheme="minorHAnsi" w:hAnsiTheme="minorHAnsi"/>
          <w:b/>
          <w:szCs w:val="22"/>
        </w:rPr>
        <w:t>Maximum $</w:t>
      </w:r>
      <w:r w:rsidR="006A751B" w:rsidRPr="000859A6">
        <w:rPr>
          <w:rFonts w:asciiTheme="minorHAnsi" w:hAnsiTheme="minorHAnsi"/>
          <w:b/>
          <w:color w:val="2E74B5"/>
          <w:szCs w:val="22"/>
        </w:rPr>
        <w:t>X (</w:t>
      </w:r>
      <w:r w:rsidR="00D935A8" w:rsidRPr="000859A6">
        <w:rPr>
          <w:rFonts w:asciiTheme="minorHAnsi" w:hAnsiTheme="minorHAnsi"/>
          <w:b/>
          <w:color w:val="2E74B5"/>
          <w:szCs w:val="22"/>
        </w:rPr>
        <w:t>i.e.</w:t>
      </w:r>
      <w:r w:rsidR="006A751B" w:rsidRPr="000859A6">
        <w:rPr>
          <w:rFonts w:asciiTheme="minorHAnsi" w:hAnsiTheme="minorHAnsi"/>
          <w:b/>
          <w:color w:val="2E74B5"/>
          <w:szCs w:val="22"/>
        </w:rPr>
        <w:t xml:space="preserve"> $1,000,000)</w:t>
      </w:r>
      <w:r w:rsidR="000859A6">
        <w:rPr>
          <w:rFonts w:asciiTheme="minorHAnsi" w:hAnsiTheme="minorHAnsi"/>
          <w:b/>
          <w:color w:val="2E74B5"/>
          <w:szCs w:val="22"/>
        </w:rPr>
        <w:t>.</w:t>
      </w:r>
    </w:p>
    <w:p w14:paraId="4C831183" w14:textId="77777777" w:rsidR="00026276" w:rsidRPr="00392020" w:rsidRDefault="00026276" w:rsidP="00392020">
      <w:pPr>
        <w:pStyle w:val="Heading2"/>
        <w:spacing w:before="120" w:line="276" w:lineRule="auto"/>
        <w:jc w:val="both"/>
        <w:rPr>
          <w:rFonts w:asciiTheme="minorHAnsi" w:hAnsiTheme="minorHAnsi"/>
          <w:sz w:val="24"/>
          <w:szCs w:val="24"/>
        </w:rPr>
      </w:pPr>
      <w:bookmarkStart w:id="25" w:name="_Toc321901227"/>
      <w:bookmarkStart w:id="26" w:name="_Toc507416330"/>
      <w:r w:rsidRPr="00392020">
        <w:rPr>
          <w:rFonts w:asciiTheme="minorHAnsi" w:hAnsiTheme="minorHAnsi"/>
          <w:sz w:val="24"/>
          <w:szCs w:val="24"/>
        </w:rPr>
        <w:t>Directors &amp; Related Parties</w:t>
      </w:r>
      <w:bookmarkEnd w:id="25"/>
      <w:bookmarkEnd w:id="26"/>
    </w:p>
    <w:p w14:paraId="5B43AA13" w14:textId="77777777" w:rsidR="00026276" w:rsidRPr="000859A6" w:rsidRDefault="00600FAF"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 xml:space="preserve">Loans to directors and </w:t>
      </w:r>
      <w:r w:rsidR="0001156E" w:rsidRPr="000859A6">
        <w:rPr>
          <w:rFonts w:asciiTheme="minorHAnsi" w:hAnsiTheme="minorHAnsi"/>
        </w:rPr>
        <w:t xml:space="preserve">their </w:t>
      </w:r>
      <w:r w:rsidRPr="000859A6">
        <w:rPr>
          <w:rFonts w:asciiTheme="minorHAnsi" w:hAnsiTheme="minorHAnsi"/>
        </w:rPr>
        <w:t>related p</w:t>
      </w:r>
      <w:r w:rsidR="00026276" w:rsidRPr="000859A6">
        <w:rPr>
          <w:rFonts w:asciiTheme="minorHAnsi" w:hAnsiTheme="minorHAnsi"/>
        </w:rPr>
        <w:t>arties, as defined by the Act</w:t>
      </w:r>
      <w:r w:rsidRPr="000859A6">
        <w:rPr>
          <w:rFonts w:asciiTheme="minorHAnsi" w:hAnsiTheme="minorHAnsi"/>
        </w:rPr>
        <w:t>,</w:t>
      </w:r>
      <w:r w:rsidR="00026276" w:rsidRPr="000859A6">
        <w:rPr>
          <w:rFonts w:asciiTheme="minorHAnsi" w:hAnsiTheme="minorHAnsi"/>
        </w:rPr>
        <w:t xml:space="preserve"> Regulations and CUDGC </w:t>
      </w:r>
      <w:r w:rsidR="00BE2E20" w:rsidRPr="000859A6">
        <w:rPr>
          <w:rFonts w:asciiTheme="minorHAnsi" w:hAnsiTheme="minorHAnsi"/>
        </w:rPr>
        <w:t>Lending Guidelines</w:t>
      </w:r>
      <w:r w:rsidRPr="000859A6">
        <w:rPr>
          <w:rFonts w:asciiTheme="minorHAnsi" w:hAnsiTheme="minorHAnsi"/>
        </w:rPr>
        <w:t xml:space="preserve"> are subject to </w:t>
      </w:r>
      <w:r w:rsidR="00F90CF3" w:rsidRPr="000859A6">
        <w:rPr>
          <w:rFonts w:asciiTheme="minorHAnsi" w:hAnsiTheme="minorHAnsi"/>
        </w:rPr>
        <w:t>approval by the Board</w:t>
      </w:r>
      <w:r w:rsidR="000F5EEB" w:rsidRPr="000859A6">
        <w:rPr>
          <w:rFonts w:asciiTheme="minorHAnsi" w:hAnsiTheme="minorHAnsi"/>
        </w:rPr>
        <w:t>. Th</w:t>
      </w:r>
      <w:r w:rsidR="00F90CF3" w:rsidRPr="000859A6">
        <w:rPr>
          <w:rFonts w:asciiTheme="minorHAnsi" w:hAnsiTheme="minorHAnsi"/>
        </w:rPr>
        <w:t>e Board may pass a</w:t>
      </w:r>
      <w:r w:rsidRPr="000859A6">
        <w:rPr>
          <w:rFonts w:asciiTheme="minorHAnsi" w:hAnsiTheme="minorHAnsi"/>
        </w:rPr>
        <w:t xml:space="preserve"> special resolution </w:t>
      </w:r>
      <w:r w:rsidR="000F5EEB" w:rsidRPr="000859A6">
        <w:rPr>
          <w:rFonts w:asciiTheme="minorHAnsi" w:hAnsiTheme="minorHAnsi"/>
        </w:rPr>
        <w:t xml:space="preserve">allowing </w:t>
      </w:r>
      <w:r w:rsidR="002F4293" w:rsidRPr="000859A6">
        <w:rPr>
          <w:rFonts w:asciiTheme="minorHAnsi" w:hAnsiTheme="minorHAnsi"/>
          <w:color w:val="2E74B5"/>
        </w:rPr>
        <w:fldChar w:fldCharType="begin"/>
      </w:r>
      <w:r w:rsidR="002F4293" w:rsidRPr="000859A6">
        <w:rPr>
          <w:rFonts w:asciiTheme="minorHAnsi" w:hAnsiTheme="minorHAnsi"/>
          <w:color w:val="2E74B5"/>
        </w:rPr>
        <w:instrText xml:space="preserve"> MACROBUTTON  AcceptAllChangesInDoc "Credit Union Name" </w:instrText>
      </w:r>
      <w:r w:rsidR="002F4293" w:rsidRPr="000859A6">
        <w:rPr>
          <w:rFonts w:asciiTheme="minorHAnsi" w:hAnsiTheme="minorHAnsi"/>
          <w:color w:val="2E74B5"/>
        </w:rPr>
        <w:fldChar w:fldCharType="end"/>
      </w:r>
      <w:r w:rsidR="000F5EEB" w:rsidRPr="000859A6">
        <w:rPr>
          <w:rFonts w:asciiTheme="minorHAnsi" w:hAnsiTheme="minorHAnsi"/>
        </w:rPr>
        <w:t xml:space="preserve"> management to approve</w:t>
      </w:r>
      <w:r w:rsidRPr="000859A6">
        <w:rPr>
          <w:rFonts w:asciiTheme="minorHAnsi" w:hAnsiTheme="minorHAnsi"/>
        </w:rPr>
        <w:t xml:space="preserve"> l</w:t>
      </w:r>
      <w:r w:rsidR="000F5EEB" w:rsidRPr="000859A6">
        <w:rPr>
          <w:rFonts w:asciiTheme="minorHAnsi" w:hAnsiTheme="minorHAnsi"/>
        </w:rPr>
        <w:t xml:space="preserve">oans to </w:t>
      </w:r>
      <w:r w:rsidRPr="000859A6">
        <w:rPr>
          <w:rFonts w:asciiTheme="minorHAnsi" w:hAnsiTheme="minorHAnsi"/>
        </w:rPr>
        <w:t>d</w:t>
      </w:r>
      <w:r w:rsidR="00026276" w:rsidRPr="000859A6">
        <w:rPr>
          <w:rFonts w:asciiTheme="minorHAnsi" w:hAnsiTheme="minorHAnsi"/>
        </w:rPr>
        <w:t xml:space="preserve">irectors, </w:t>
      </w:r>
      <w:r w:rsidR="000F5EEB" w:rsidRPr="000859A6">
        <w:rPr>
          <w:rFonts w:asciiTheme="minorHAnsi" w:hAnsiTheme="minorHAnsi"/>
        </w:rPr>
        <w:t xml:space="preserve">and </w:t>
      </w:r>
      <w:r w:rsidR="0001156E" w:rsidRPr="000859A6">
        <w:rPr>
          <w:rFonts w:asciiTheme="minorHAnsi" w:hAnsiTheme="minorHAnsi"/>
        </w:rPr>
        <w:t xml:space="preserve">their </w:t>
      </w:r>
      <w:r w:rsidR="000F5EEB" w:rsidRPr="000859A6">
        <w:rPr>
          <w:rFonts w:asciiTheme="minorHAnsi" w:hAnsiTheme="minorHAnsi"/>
        </w:rPr>
        <w:t>related parties, subject to regular reporting to the Board. Loans approved under the special resolution are to be forward</w:t>
      </w:r>
      <w:r w:rsidR="00026276" w:rsidRPr="000859A6">
        <w:rPr>
          <w:rFonts w:asciiTheme="minorHAnsi" w:hAnsiTheme="minorHAnsi"/>
        </w:rPr>
        <w:t xml:space="preserve"> immediately on approval to CUDGC through the Loan Transaction Review Program</w:t>
      </w:r>
      <w:r w:rsidR="000F5EEB" w:rsidRPr="000859A6">
        <w:rPr>
          <w:rFonts w:asciiTheme="minorHAnsi" w:hAnsiTheme="minorHAnsi"/>
        </w:rPr>
        <w:t>.</w:t>
      </w:r>
    </w:p>
    <w:p w14:paraId="4DE092C9" w14:textId="77777777" w:rsidR="00026276" w:rsidRPr="000859A6" w:rsidRDefault="000F5EEB"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 xml:space="preserve">Loans to Directors and </w:t>
      </w:r>
      <w:r w:rsidR="0001156E" w:rsidRPr="000859A6">
        <w:rPr>
          <w:rFonts w:asciiTheme="minorHAnsi" w:hAnsiTheme="minorHAnsi"/>
        </w:rPr>
        <w:t xml:space="preserve">their </w:t>
      </w:r>
      <w:r w:rsidRPr="000859A6">
        <w:rPr>
          <w:rFonts w:asciiTheme="minorHAnsi" w:hAnsiTheme="minorHAnsi"/>
        </w:rPr>
        <w:t xml:space="preserve">related parties are to be at fair market rate, not to exceed amounts prescribed by CUDGC and otherwise consistent with the Credit Union Act, Regulations and CUDGC </w:t>
      </w:r>
      <w:r w:rsidR="00433148" w:rsidRPr="000859A6">
        <w:rPr>
          <w:rFonts w:asciiTheme="minorHAnsi" w:hAnsiTheme="minorHAnsi"/>
        </w:rPr>
        <w:t>Lending Guidelines</w:t>
      </w:r>
      <w:r w:rsidRPr="000859A6">
        <w:rPr>
          <w:rFonts w:asciiTheme="minorHAnsi" w:hAnsiTheme="minorHAnsi"/>
        </w:rPr>
        <w:t>.</w:t>
      </w:r>
    </w:p>
    <w:p w14:paraId="3B6C1AD6" w14:textId="77777777" w:rsidR="00026276" w:rsidRPr="000859A6" w:rsidRDefault="00026276" w:rsidP="000859A6">
      <w:pPr>
        <w:pStyle w:val="ListParagraph"/>
        <w:spacing w:before="120" w:after="60" w:line="276" w:lineRule="auto"/>
        <w:ind w:left="0"/>
        <w:contextualSpacing w:val="0"/>
        <w:jc w:val="both"/>
        <w:rPr>
          <w:rFonts w:asciiTheme="minorHAnsi" w:hAnsiTheme="minorHAnsi"/>
        </w:rPr>
      </w:pPr>
      <w:r w:rsidRPr="000859A6">
        <w:rPr>
          <w:rFonts w:asciiTheme="minorHAnsi" w:hAnsiTheme="minorHAnsi"/>
        </w:rPr>
        <w:t>Loans to directors in arrears exceeding 45 days are to be reported to CUDGC and the Alberta Superintendent of Financial Institutions</w:t>
      </w:r>
      <w:r w:rsidR="00AE0FF8" w:rsidRPr="000859A6">
        <w:rPr>
          <w:rFonts w:asciiTheme="minorHAnsi" w:hAnsiTheme="minorHAnsi"/>
        </w:rPr>
        <w:t>.</w:t>
      </w:r>
      <w:r w:rsidRPr="000859A6">
        <w:rPr>
          <w:rFonts w:asciiTheme="minorHAnsi" w:hAnsiTheme="minorHAnsi"/>
        </w:rPr>
        <w:t xml:space="preserve"> Should arrears exceed 60-days, the borrower is no longer eligible to sit as a Director of</w:t>
      </w:r>
      <w:r w:rsidR="008C0694" w:rsidRPr="000859A6">
        <w:rPr>
          <w:rFonts w:asciiTheme="minorHAnsi" w:hAnsiTheme="minorHAnsi"/>
        </w:rPr>
        <w:t xml:space="preserve"> </w:t>
      </w:r>
      <w:r w:rsidRPr="000859A6">
        <w:rPr>
          <w:rFonts w:asciiTheme="minorHAnsi" w:hAnsiTheme="minorHAnsi"/>
        </w:rPr>
        <w:t xml:space="preserve"> </w:t>
      </w:r>
      <w:r w:rsidR="008C0694" w:rsidRPr="000859A6">
        <w:rPr>
          <w:rFonts w:asciiTheme="minorHAnsi" w:hAnsiTheme="minorHAnsi"/>
          <w:color w:val="2E74B5"/>
        </w:rPr>
        <w:fldChar w:fldCharType="begin"/>
      </w:r>
      <w:r w:rsidR="008C0694" w:rsidRPr="000859A6">
        <w:rPr>
          <w:rFonts w:asciiTheme="minorHAnsi" w:hAnsiTheme="minorHAnsi"/>
          <w:color w:val="2E74B5"/>
        </w:rPr>
        <w:instrText xml:space="preserve"> MACROBUTTON  AcceptAllChangesInDoc "Credit Union Name" </w:instrText>
      </w:r>
      <w:r w:rsidR="008C0694" w:rsidRPr="000859A6">
        <w:rPr>
          <w:rFonts w:asciiTheme="minorHAnsi" w:hAnsiTheme="minorHAnsi"/>
          <w:color w:val="2E74B5"/>
        </w:rPr>
        <w:fldChar w:fldCharType="end"/>
      </w:r>
      <w:r w:rsidR="000859A6">
        <w:rPr>
          <w:rFonts w:asciiTheme="minorHAnsi" w:hAnsiTheme="minorHAnsi"/>
        </w:rPr>
        <w:t>.</w:t>
      </w:r>
    </w:p>
    <w:p w14:paraId="3D4E5A36" w14:textId="77777777" w:rsidR="00026276" w:rsidRPr="00392020" w:rsidRDefault="00026276" w:rsidP="00392020">
      <w:pPr>
        <w:pStyle w:val="Heading2"/>
        <w:spacing w:before="120" w:line="276" w:lineRule="auto"/>
        <w:rPr>
          <w:rFonts w:asciiTheme="minorHAnsi" w:hAnsiTheme="minorHAnsi"/>
          <w:sz w:val="24"/>
          <w:szCs w:val="24"/>
        </w:rPr>
      </w:pPr>
      <w:bookmarkStart w:id="27" w:name="_Toc321901228"/>
      <w:bookmarkStart w:id="28" w:name="_Toc507416331"/>
      <w:r w:rsidRPr="00392020">
        <w:rPr>
          <w:rFonts w:asciiTheme="minorHAnsi" w:hAnsiTheme="minorHAnsi"/>
          <w:sz w:val="24"/>
          <w:szCs w:val="24"/>
        </w:rPr>
        <w:t>Staff</w:t>
      </w:r>
      <w:bookmarkEnd w:id="27"/>
      <w:bookmarkEnd w:id="28"/>
    </w:p>
    <w:p w14:paraId="01E794A0" w14:textId="77777777" w:rsidR="00C63686" w:rsidRPr="000859A6" w:rsidRDefault="00C63686" w:rsidP="000859A6">
      <w:pPr>
        <w:pStyle w:val="ListParagraph"/>
        <w:numPr>
          <w:ilvl w:val="0"/>
          <w:numId w:val="2"/>
        </w:numPr>
        <w:spacing w:before="120" w:after="60" w:line="276" w:lineRule="auto"/>
        <w:ind w:left="360" w:hanging="270"/>
        <w:jc w:val="both"/>
        <w:rPr>
          <w:rFonts w:asciiTheme="minorHAnsi" w:hAnsiTheme="minorHAnsi"/>
        </w:rPr>
      </w:pPr>
      <w:r w:rsidRPr="000859A6">
        <w:rPr>
          <w:rFonts w:asciiTheme="minorHAnsi" w:hAnsiTheme="minorHAnsi"/>
        </w:rPr>
        <w:t xml:space="preserve">Loans to the President and CEO are </w:t>
      </w:r>
      <w:r w:rsidR="00BE2E20" w:rsidRPr="000859A6">
        <w:rPr>
          <w:rFonts w:asciiTheme="minorHAnsi" w:hAnsiTheme="minorHAnsi"/>
        </w:rPr>
        <w:t xml:space="preserve">subject to </w:t>
      </w:r>
      <w:r w:rsidRPr="000859A6">
        <w:rPr>
          <w:rFonts w:asciiTheme="minorHAnsi" w:hAnsiTheme="minorHAnsi"/>
        </w:rPr>
        <w:t>the Senior Credit Officer</w:t>
      </w:r>
      <w:r w:rsidR="00BE2E20" w:rsidRPr="000859A6">
        <w:rPr>
          <w:rFonts w:asciiTheme="minorHAnsi" w:hAnsiTheme="minorHAnsi"/>
        </w:rPr>
        <w:t xml:space="preserve"> confirming the loan</w:t>
      </w:r>
      <w:r w:rsidR="008B6808" w:rsidRPr="000859A6">
        <w:rPr>
          <w:rFonts w:asciiTheme="minorHAnsi" w:hAnsiTheme="minorHAnsi"/>
        </w:rPr>
        <w:t xml:space="preserve">s meet the approved policy and </w:t>
      </w:r>
      <w:r w:rsidR="00147968" w:rsidRPr="000859A6">
        <w:rPr>
          <w:rFonts w:asciiTheme="minorHAnsi" w:hAnsiTheme="minorHAnsi"/>
        </w:rPr>
        <w:t>pre-</w:t>
      </w:r>
      <w:r w:rsidR="008B6808" w:rsidRPr="000859A6">
        <w:rPr>
          <w:rFonts w:asciiTheme="minorHAnsi" w:hAnsiTheme="minorHAnsi"/>
        </w:rPr>
        <w:t xml:space="preserve">approval </w:t>
      </w:r>
      <w:proofErr w:type="gramStart"/>
      <w:r w:rsidR="008B6808" w:rsidRPr="000859A6">
        <w:rPr>
          <w:rFonts w:asciiTheme="minorHAnsi" w:hAnsiTheme="minorHAnsi"/>
        </w:rPr>
        <w:t>by</w:t>
      </w:r>
      <w:r w:rsidR="00BE2E20" w:rsidRPr="000859A6">
        <w:rPr>
          <w:rFonts w:asciiTheme="minorHAnsi" w:hAnsiTheme="minorHAnsi"/>
        </w:rPr>
        <w:t xml:space="preserve"> </w:t>
      </w:r>
      <w:r w:rsidRPr="000859A6">
        <w:rPr>
          <w:rFonts w:asciiTheme="minorHAnsi" w:hAnsiTheme="minorHAnsi"/>
        </w:rPr>
        <w:t xml:space="preserve"> the</w:t>
      </w:r>
      <w:proofErr w:type="gramEnd"/>
      <w:r w:rsidRPr="000859A6">
        <w:rPr>
          <w:rFonts w:asciiTheme="minorHAnsi" w:hAnsiTheme="minorHAnsi"/>
        </w:rPr>
        <w:t xml:space="preserve"> Board</w:t>
      </w:r>
      <w:r w:rsidR="008B6808" w:rsidRPr="000859A6">
        <w:rPr>
          <w:rFonts w:asciiTheme="minorHAnsi" w:hAnsiTheme="minorHAnsi"/>
        </w:rPr>
        <w:t>, within the Credit Union’s discretionary lending limits</w:t>
      </w:r>
      <w:r w:rsidR="000859A6">
        <w:rPr>
          <w:rFonts w:asciiTheme="minorHAnsi" w:hAnsiTheme="minorHAnsi"/>
        </w:rPr>
        <w:t>.</w:t>
      </w:r>
    </w:p>
    <w:p w14:paraId="2C3D6AC9" w14:textId="77777777" w:rsidR="008B6808" w:rsidRPr="000859A6" w:rsidRDefault="00026276" w:rsidP="000859A6">
      <w:pPr>
        <w:pStyle w:val="ListParagraph"/>
        <w:numPr>
          <w:ilvl w:val="0"/>
          <w:numId w:val="2"/>
        </w:numPr>
        <w:spacing w:before="120" w:after="60" w:line="276" w:lineRule="auto"/>
        <w:ind w:left="360" w:hanging="270"/>
        <w:jc w:val="both"/>
        <w:rPr>
          <w:rFonts w:asciiTheme="minorHAnsi" w:hAnsiTheme="minorHAnsi"/>
        </w:rPr>
      </w:pPr>
      <w:r w:rsidRPr="000859A6">
        <w:rPr>
          <w:rFonts w:asciiTheme="minorHAnsi" w:hAnsiTheme="minorHAnsi"/>
        </w:rPr>
        <w:t xml:space="preserve">Loans to </w:t>
      </w:r>
      <w:r w:rsidR="008C0694" w:rsidRPr="000859A6">
        <w:rPr>
          <w:rFonts w:asciiTheme="minorHAnsi" w:hAnsiTheme="minorHAnsi"/>
          <w:color w:val="2E74B5"/>
        </w:rPr>
        <w:fldChar w:fldCharType="begin"/>
      </w:r>
      <w:r w:rsidR="008C0694" w:rsidRPr="000859A6">
        <w:rPr>
          <w:rFonts w:asciiTheme="minorHAnsi" w:hAnsiTheme="minorHAnsi"/>
          <w:color w:val="2E74B5"/>
        </w:rPr>
        <w:instrText xml:space="preserve"> MACROBUTTON  AcceptAllChangesInDoc "CU Short Name" </w:instrText>
      </w:r>
      <w:r w:rsidR="008C0694" w:rsidRPr="000859A6">
        <w:rPr>
          <w:rFonts w:asciiTheme="minorHAnsi" w:hAnsiTheme="minorHAnsi"/>
          <w:color w:val="2E74B5"/>
        </w:rPr>
        <w:fldChar w:fldCharType="end"/>
      </w:r>
      <w:r w:rsidR="00290FD7" w:rsidRPr="000859A6">
        <w:rPr>
          <w:rFonts w:asciiTheme="minorHAnsi" w:hAnsiTheme="minorHAnsi"/>
        </w:rPr>
        <w:t xml:space="preserve"> </w:t>
      </w:r>
      <w:r w:rsidRPr="000859A6">
        <w:rPr>
          <w:rFonts w:asciiTheme="minorHAnsi" w:hAnsiTheme="minorHAnsi"/>
        </w:rPr>
        <w:t xml:space="preserve">Senior Officers (Vice President and higher) are to be recommended by the </w:t>
      </w:r>
      <w:r w:rsidR="006C34F3" w:rsidRPr="000859A6">
        <w:rPr>
          <w:rFonts w:asciiTheme="minorHAnsi" w:hAnsiTheme="minorHAnsi"/>
        </w:rPr>
        <w:t>Senior</w:t>
      </w:r>
      <w:r w:rsidRPr="000859A6">
        <w:rPr>
          <w:rFonts w:asciiTheme="minorHAnsi" w:hAnsiTheme="minorHAnsi"/>
        </w:rPr>
        <w:t xml:space="preserve"> Credit</w:t>
      </w:r>
      <w:r w:rsidR="006C34F3" w:rsidRPr="000859A6">
        <w:rPr>
          <w:rFonts w:asciiTheme="minorHAnsi" w:hAnsiTheme="minorHAnsi"/>
        </w:rPr>
        <w:t xml:space="preserve"> Officer</w:t>
      </w:r>
      <w:r w:rsidRPr="000859A6">
        <w:rPr>
          <w:rFonts w:asciiTheme="minorHAnsi" w:hAnsiTheme="minorHAnsi"/>
        </w:rPr>
        <w:t xml:space="preserve"> and approved by the President &amp; CEO</w:t>
      </w:r>
      <w:r w:rsidR="00C63686" w:rsidRPr="000859A6">
        <w:rPr>
          <w:rFonts w:asciiTheme="minorHAnsi" w:hAnsiTheme="minorHAnsi"/>
        </w:rPr>
        <w:t>, within staff ap</w:t>
      </w:r>
      <w:r w:rsidR="000859A6">
        <w:rPr>
          <w:rFonts w:asciiTheme="minorHAnsi" w:hAnsiTheme="minorHAnsi"/>
        </w:rPr>
        <w:t>proval limits assigned by CUDGC.</w:t>
      </w:r>
    </w:p>
    <w:p w14:paraId="4B365E63" w14:textId="77777777" w:rsidR="00C63686" w:rsidRPr="000859A6" w:rsidRDefault="00C63686" w:rsidP="000859A6">
      <w:pPr>
        <w:pStyle w:val="ListParagraph"/>
        <w:numPr>
          <w:ilvl w:val="0"/>
          <w:numId w:val="2"/>
        </w:numPr>
        <w:spacing w:before="120" w:after="60" w:line="276" w:lineRule="auto"/>
        <w:ind w:left="360" w:hanging="270"/>
        <w:jc w:val="both"/>
        <w:rPr>
          <w:rFonts w:asciiTheme="minorHAnsi" w:hAnsiTheme="minorHAnsi"/>
        </w:rPr>
      </w:pPr>
      <w:r w:rsidRPr="000859A6">
        <w:rPr>
          <w:rFonts w:asciiTheme="minorHAnsi" w:hAnsiTheme="minorHAnsi"/>
        </w:rPr>
        <w:t>Loans to all other staff are to be approved within the approved credit authority framework and within staff approval limits assign</w:t>
      </w:r>
      <w:r w:rsidR="000859A6">
        <w:rPr>
          <w:rFonts w:asciiTheme="minorHAnsi" w:hAnsiTheme="minorHAnsi"/>
        </w:rPr>
        <w:t>ed by CUDGC.</w:t>
      </w:r>
    </w:p>
    <w:p w14:paraId="7FCFE3BD" w14:textId="77777777" w:rsidR="008B6808" w:rsidRPr="000859A6" w:rsidRDefault="00C63686" w:rsidP="000859A6">
      <w:pPr>
        <w:pStyle w:val="ListParagraph"/>
        <w:numPr>
          <w:ilvl w:val="0"/>
          <w:numId w:val="2"/>
        </w:numPr>
        <w:spacing w:before="120" w:after="60" w:line="276" w:lineRule="auto"/>
        <w:ind w:left="360" w:hanging="274"/>
        <w:jc w:val="both"/>
        <w:rPr>
          <w:rFonts w:asciiTheme="minorHAnsi" w:hAnsiTheme="minorHAnsi"/>
        </w:rPr>
      </w:pPr>
      <w:r w:rsidRPr="000859A6">
        <w:rPr>
          <w:rFonts w:asciiTheme="minorHAnsi" w:hAnsiTheme="minorHAnsi"/>
        </w:rPr>
        <w:t xml:space="preserve">All loans exceeding the staff approval limits, and within the </w:t>
      </w:r>
      <w:r w:rsidR="002474E8" w:rsidRPr="000859A6">
        <w:rPr>
          <w:rFonts w:asciiTheme="minorHAnsi" w:hAnsiTheme="minorHAnsi"/>
        </w:rPr>
        <w:t xml:space="preserve">(regular) </w:t>
      </w:r>
      <w:proofErr w:type="gramStart"/>
      <w:r w:rsidRPr="000859A6">
        <w:rPr>
          <w:rFonts w:asciiTheme="minorHAnsi" w:hAnsiTheme="minorHAnsi"/>
        </w:rPr>
        <w:t xml:space="preserve">discretionary  </w:t>
      </w:r>
      <w:r w:rsidR="002474E8" w:rsidRPr="000859A6">
        <w:rPr>
          <w:rFonts w:asciiTheme="minorHAnsi" w:hAnsiTheme="minorHAnsi"/>
        </w:rPr>
        <w:t>limits</w:t>
      </w:r>
      <w:proofErr w:type="gramEnd"/>
      <w:r w:rsidR="002474E8" w:rsidRPr="000859A6">
        <w:rPr>
          <w:rFonts w:asciiTheme="minorHAnsi" w:hAnsiTheme="minorHAnsi"/>
        </w:rPr>
        <w:t xml:space="preserve"> assigned </w:t>
      </w:r>
      <w:r w:rsidRPr="000859A6">
        <w:rPr>
          <w:rFonts w:asciiTheme="minorHAnsi" w:hAnsiTheme="minorHAnsi"/>
        </w:rPr>
        <w:t xml:space="preserve">in writing by CUDGC require </w:t>
      </w:r>
      <w:r w:rsidR="001E5026" w:rsidRPr="000859A6">
        <w:rPr>
          <w:rFonts w:asciiTheme="minorHAnsi" w:hAnsiTheme="minorHAnsi"/>
        </w:rPr>
        <w:t xml:space="preserve">prior </w:t>
      </w:r>
      <w:r w:rsidR="000859A6">
        <w:rPr>
          <w:rFonts w:asciiTheme="minorHAnsi" w:hAnsiTheme="minorHAnsi"/>
        </w:rPr>
        <w:t>Board  approval.</w:t>
      </w:r>
    </w:p>
    <w:p w14:paraId="6560B974" w14:textId="77777777" w:rsidR="008B6808" w:rsidRPr="000859A6" w:rsidRDefault="008B6808" w:rsidP="000859A6">
      <w:pPr>
        <w:pStyle w:val="ListParagraph"/>
        <w:numPr>
          <w:ilvl w:val="0"/>
          <w:numId w:val="2"/>
        </w:numPr>
        <w:spacing w:before="120" w:after="60" w:line="276" w:lineRule="auto"/>
        <w:ind w:left="363" w:hanging="272"/>
        <w:jc w:val="both"/>
        <w:rPr>
          <w:rFonts w:asciiTheme="minorHAnsi" w:hAnsiTheme="minorHAnsi"/>
        </w:rPr>
      </w:pPr>
      <w:r w:rsidRPr="000859A6">
        <w:rPr>
          <w:rFonts w:asciiTheme="minorHAnsi" w:hAnsiTheme="minorHAnsi"/>
        </w:rPr>
        <w:t xml:space="preserve">All Senior Officer loans, including the president &amp; CEO and all other employee loans aggregating more </w:t>
      </w:r>
      <w:r w:rsidR="002E2803" w:rsidRPr="000859A6">
        <w:rPr>
          <w:rFonts w:asciiTheme="minorHAnsi" w:hAnsiTheme="minorHAnsi"/>
        </w:rPr>
        <w:t>than</w:t>
      </w:r>
      <w:r w:rsidRPr="000859A6">
        <w:rPr>
          <w:rFonts w:asciiTheme="minorHAnsi" w:hAnsiTheme="minorHAnsi"/>
        </w:rPr>
        <w:t xml:space="preserve"> $</w:t>
      </w:r>
      <w:r w:rsidR="00433148" w:rsidRPr="000859A6">
        <w:rPr>
          <w:rFonts w:asciiTheme="minorHAnsi" w:hAnsiTheme="minorHAnsi"/>
          <w:color w:val="2E74B5"/>
        </w:rPr>
        <w:t>XXX</w:t>
      </w:r>
      <w:r w:rsidR="00433148" w:rsidRPr="000859A6">
        <w:rPr>
          <w:rFonts w:asciiTheme="minorHAnsi" w:hAnsiTheme="minorHAnsi"/>
        </w:rPr>
        <w:t>,000</w:t>
      </w:r>
      <w:r w:rsidRPr="000859A6">
        <w:rPr>
          <w:rFonts w:asciiTheme="minorHAnsi" w:hAnsiTheme="minorHAnsi"/>
        </w:rPr>
        <w:t xml:space="preserve"> are to be reported to the Board at their next scheduled </w:t>
      </w:r>
      <w:r w:rsidR="001D5ADA" w:rsidRPr="000859A6">
        <w:rPr>
          <w:rFonts w:asciiTheme="minorHAnsi" w:hAnsiTheme="minorHAnsi"/>
        </w:rPr>
        <w:t xml:space="preserve">Board </w:t>
      </w:r>
      <w:r w:rsidRPr="000859A6">
        <w:rPr>
          <w:rFonts w:asciiTheme="minorHAnsi" w:hAnsiTheme="minorHAnsi"/>
        </w:rPr>
        <w:t>meeting</w:t>
      </w:r>
      <w:r w:rsidR="000859A6">
        <w:rPr>
          <w:rFonts w:asciiTheme="minorHAnsi" w:hAnsiTheme="minorHAnsi"/>
        </w:rPr>
        <w:t>.</w:t>
      </w:r>
    </w:p>
    <w:p w14:paraId="4AB77147" w14:textId="77777777" w:rsidR="00026276" w:rsidRPr="00392020" w:rsidRDefault="00026276" w:rsidP="00392020">
      <w:pPr>
        <w:pStyle w:val="Heading1"/>
        <w:spacing w:line="276" w:lineRule="auto"/>
      </w:pPr>
      <w:bookmarkStart w:id="29" w:name="_Toc321901229"/>
      <w:bookmarkStart w:id="30" w:name="_Toc507416332"/>
      <w:r w:rsidRPr="00392020">
        <w:t xml:space="preserve">Market </w:t>
      </w:r>
      <w:r w:rsidR="00E8770D" w:rsidRPr="00392020">
        <w:t>Service Area E</w:t>
      </w:r>
      <w:r w:rsidRPr="00392020">
        <w:t>xposure</w:t>
      </w:r>
      <w:bookmarkEnd w:id="29"/>
      <w:bookmarkEnd w:id="30"/>
    </w:p>
    <w:p w14:paraId="7A819E56" w14:textId="77777777" w:rsidR="00026276" w:rsidRPr="000859A6" w:rsidRDefault="002F4293" w:rsidP="00D94692">
      <w:pPr>
        <w:pStyle w:val="ListParagraph"/>
        <w:spacing w:before="120" w:after="60" w:line="276" w:lineRule="auto"/>
        <w:ind w:left="0"/>
        <w:contextualSpacing w:val="0"/>
        <w:jc w:val="both"/>
        <w:rPr>
          <w:rFonts w:asciiTheme="minorHAnsi" w:hAnsiTheme="minorHAnsi"/>
        </w:rPr>
      </w:pPr>
      <w:r w:rsidRPr="000859A6">
        <w:rPr>
          <w:rFonts w:asciiTheme="minorHAnsi" w:hAnsiTheme="minorHAnsi"/>
          <w:color w:val="2E74B5"/>
        </w:rPr>
        <w:fldChar w:fldCharType="begin"/>
      </w:r>
      <w:r w:rsidRPr="000859A6">
        <w:rPr>
          <w:rFonts w:asciiTheme="minorHAnsi" w:hAnsiTheme="minorHAnsi"/>
          <w:color w:val="2E74B5"/>
        </w:rPr>
        <w:instrText xml:space="preserve"> MACROBUTTON  AcceptAllChangesInDoc "Credit Union Name" </w:instrText>
      </w:r>
      <w:r w:rsidRPr="000859A6">
        <w:rPr>
          <w:rFonts w:asciiTheme="minorHAnsi" w:hAnsiTheme="minorHAnsi"/>
          <w:color w:val="2E74B5"/>
        </w:rPr>
        <w:fldChar w:fldCharType="end"/>
      </w:r>
      <w:r w:rsidR="006C34F3" w:rsidRPr="000859A6">
        <w:rPr>
          <w:rFonts w:asciiTheme="minorHAnsi" w:hAnsiTheme="minorHAnsi"/>
        </w:rPr>
        <w:t xml:space="preserve"> loan exposure </w:t>
      </w:r>
      <w:r w:rsidR="00606FA2" w:rsidRPr="000859A6">
        <w:rPr>
          <w:rFonts w:asciiTheme="minorHAnsi" w:hAnsiTheme="minorHAnsi"/>
        </w:rPr>
        <w:t>is expected to be primarily within the</w:t>
      </w:r>
      <w:r w:rsidR="006C34F3" w:rsidRPr="000859A6">
        <w:rPr>
          <w:rFonts w:asciiTheme="minorHAnsi" w:hAnsiTheme="minorHAnsi"/>
        </w:rPr>
        <w:t xml:space="preserve"> </w:t>
      </w:r>
      <w:r w:rsidR="00E8770D" w:rsidRPr="000859A6">
        <w:rPr>
          <w:rFonts w:asciiTheme="minorHAnsi" w:hAnsiTheme="minorHAnsi"/>
        </w:rPr>
        <w:t>Market Service Area (MSA)</w:t>
      </w:r>
      <w:r w:rsidR="006C34F3" w:rsidRPr="000859A6">
        <w:rPr>
          <w:rFonts w:asciiTheme="minorHAnsi" w:hAnsiTheme="minorHAnsi"/>
        </w:rPr>
        <w:t xml:space="preserve">, as defined by the </w:t>
      </w:r>
      <w:r w:rsidR="004F410A" w:rsidRPr="000859A6">
        <w:rPr>
          <w:rFonts w:asciiTheme="minorHAnsi" w:hAnsiTheme="minorHAnsi"/>
        </w:rPr>
        <w:t>Board (Risk) Committee</w:t>
      </w:r>
      <w:r w:rsidR="00606FA2" w:rsidRPr="000859A6">
        <w:rPr>
          <w:rFonts w:asciiTheme="minorHAnsi" w:hAnsiTheme="minorHAnsi"/>
        </w:rPr>
        <w:t xml:space="preserve">. Non-consumer loan exposure, including Syndicated loans, outside of the </w:t>
      </w:r>
      <w:r w:rsidR="00E8770D" w:rsidRPr="000859A6">
        <w:rPr>
          <w:rFonts w:asciiTheme="minorHAnsi" w:hAnsiTheme="minorHAnsi"/>
        </w:rPr>
        <w:t xml:space="preserve">MSA </w:t>
      </w:r>
      <w:r w:rsidR="00606FA2" w:rsidRPr="000859A6">
        <w:rPr>
          <w:rFonts w:asciiTheme="minorHAnsi" w:hAnsiTheme="minorHAnsi"/>
        </w:rPr>
        <w:t xml:space="preserve">is to be limited to a maximum </w:t>
      </w:r>
      <w:r w:rsidR="006C34F3" w:rsidRPr="000859A6">
        <w:rPr>
          <w:rFonts w:asciiTheme="minorHAnsi" w:hAnsiTheme="minorHAnsi"/>
        </w:rPr>
        <w:t xml:space="preserve">aggregate amount of </w:t>
      </w:r>
      <w:r w:rsidR="001F5C26" w:rsidRPr="000859A6">
        <w:rPr>
          <w:rFonts w:asciiTheme="minorHAnsi" w:hAnsiTheme="minorHAnsi"/>
          <w:u w:val="single"/>
        </w:rPr>
        <w:fldChar w:fldCharType="begin"/>
      </w:r>
      <w:r w:rsidR="001F5C26" w:rsidRPr="000859A6">
        <w:rPr>
          <w:rFonts w:asciiTheme="minorHAnsi" w:hAnsiTheme="minorHAnsi"/>
          <w:u w:val="single"/>
        </w:rPr>
        <w:instrText xml:space="preserve"> MACROBUTTON  AcceptAllChangesInDoc # </w:instrText>
      </w:r>
      <w:r w:rsidR="001F5C26" w:rsidRPr="000859A6">
        <w:rPr>
          <w:rFonts w:asciiTheme="minorHAnsi" w:hAnsiTheme="minorHAnsi"/>
          <w:u w:val="single"/>
        </w:rPr>
        <w:fldChar w:fldCharType="end"/>
      </w:r>
      <w:r w:rsidR="006C34F3" w:rsidRPr="000859A6">
        <w:rPr>
          <w:rFonts w:asciiTheme="minorHAnsi" w:hAnsiTheme="minorHAnsi"/>
          <w:u w:val="single"/>
        </w:rPr>
        <w:t>%</w:t>
      </w:r>
      <w:r w:rsidR="006C34F3" w:rsidRPr="000859A6">
        <w:rPr>
          <w:rFonts w:asciiTheme="minorHAnsi" w:hAnsiTheme="minorHAnsi"/>
        </w:rPr>
        <w:t xml:space="preserve"> of </w:t>
      </w:r>
      <w:r w:rsidR="008C0694" w:rsidRPr="000859A6">
        <w:rPr>
          <w:rFonts w:asciiTheme="minorHAnsi" w:hAnsiTheme="minorHAnsi"/>
          <w:color w:val="2E74B5"/>
        </w:rPr>
        <w:fldChar w:fldCharType="begin"/>
      </w:r>
      <w:r w:rsidR="008C0694" w:rsidRPr="000859A6">
        <w:rPr>
          <w:rFonts w:asciiTheme="minorHAnsi" w:hAnsiTheme="minorHAnsi"/>
          <w:color w:val="2E74B5"/>
        </w:rPr>
        <w:instrText xml:space="preserve"> MACROBUTTON  AcceptAllChangesInDoc "CU Short Name" </w:instrText>
      </w:r>
      <w:r w:rsidR="008C0694" w:rsidRPr="000859A6">
        <w:rPr>
          <w:rFonts w:asciiTheme="minorHAnsi" w:hAnsiTheme="minorHAnsi"/>
          <w:color w:val="2E74B5"/>
        </w:rPr>
        <w:fldChar w:fldCharType="end"/>
      </w:r>
      <w:r w:rsidR="006C34F3" w:rsidRPr="000859A6">
        <w:rPr>
          <w:rFonts w:asciiTheme="minorHAnsi" w:hAnsiTheme="minorHAnsi"/>
        </w:rPr>
        <w:t xml:space="preserve"> </w:t>
      </w:r>
      <w:r w:rsidR="007C3E5D" w:rsidRPr="000859A6">
        <w:rPr>
          <w:rFonts w:asciiTheme="minorHAnsi" w:hAnsiTheme="minorHAnsi"/>
        </w:rPr>
        <w:t xml:space="preserve">available </w:t>
      </w:r>
      <w:r w:rsidR="006C34F3" w:rsidRPr="000859A6">
        <w:rPr>
          <w:rFonts w:asciiTheme="minorHAnsi" w:hAnsiTheme="minorHAnsi"/>
        </w:rPr>
        <w:t>capital</w:t>
      </w:r>
      <w:r w:rsidR="00606FA2" w:rsidRPr="000859A6">
        <w:rPr>
          <w:rFonts w:asciiTheme="minorHAnsi" w:hAnsiTheme="minorHAnsi"/>
        </w:rPr>
        <w:t>.</w:t>
      </w:r>
    </w:p>
    <w:p w14:paraId="59A43882" w14:textId="77777777" w:rsidR="00026276" w:rsidRPr="00392020" w:rsidRDefault="00026276" w:rsidP="00392020">
      <w:pPr>
        <w:pStyle w:val="Heading1"/>
        <w:spacing w:line="276" w:lineRule="auto"/>
      </w:pPr>
      <w:bookmarkStart w:id="31" w:name="_Toc321901230"/>
      <w:bookmarkStart w:id="32" w:name="_Toc507416333"/>
      <w:r w:rsidRPr="00392020">
        <w:lastRenderedPageBreak/>
        <w:t>Syndication Lending</w:t>
      </w:r>
      <w:bookmarkEnd w:id="31"/>
      <w:bookmarkEnd w:id="32"/>
    </w:p>
    <w:p w14:paraId="0C18C964" w14:textId="77777777" w:rsidR="00026276" w:rsidRPr="00D94692" w:rsidRDefault="00026276" w:rsidP="00D94692">
      <w:pPr>
        <w:pStyle w:val="ListParagraph"/>
        <w:spacing w:before="120" w:after="60" w:line="276" w:lineRule="auto"/>
        <w:ind w:left="0"/>
        <w:contextualSpacing w:val="0"/>
        <w:jc w:val="both"/>
        <w:rPr>
          <w:rFonts w:asciiTheme="minorHAnsi" w:hAnsiTheme="minorHAnsi"/>
        </w:rPr>
      </w:pPr>
      <w:r w:rsidRPr="00D94692">
        <w:rPr>
          <w:rFonts w:asciiTheme="minorHAnsi" w:hAnsiTheme="minorHAnsi"/>
        </w:rPr>
        <w:t>Syndicated loans are to be consistent with CUDGC subject matter guidelines</w:t>
      </w:r>
      <w:r w:rsidR="00606FA2" w:rsidRPr="00D94692">
        <w:rPr>
          <w:rFonts w:asciiTheme="minorHAnsi" w:hAnsiTheme="minorHAnsi"/>
        </w:rPr>
        <w:t xml:space="preserve"> and subject to a maximum a</w:t>
      </w:r>
      <w:r w:rsidRPr="00D94692">
        <w:rPr>
          <w:rFonts w:asciiTheme="minorHAnsi" w:hAnsiTheme="minorHAnsi"/>
        </w:rPr>
        <w:t xml:space="preserve">ggregate amount of </w:t>
      </w:r>
      <w:r w:rsidR="001F5C26" w:rsidRPr="00D94692">
        <w:rPr>
          <w:rFonts w:asciiTheme="minorHAnsi" w:hAnsiTheme="minorHAnsi"/>
        </w:rPr>
        <w:fldChar w:fldCharType="begin"/>
      </w:r>
      <w:r w:rsidR="001F5C26" w:rsidRPr="00D94692">
        <w:rPr>
          <w:rFonts w:asciiTheme="minorHAnsi" w:hAnsiTheme="minorHAnsi"/>
        </w:rPr>
        <w:instrText xml:space="preserve"> MACROBUTTON  AcceptAllChangesInDoc # </w:instrText>
      </w:r>
      <w:r w:rsidR="001F5C26" w:rsidRPr="00D94692">
        <w:rPr>
          <w:rFonts w:asciiTheme="minorHAnsi" w:hAnsiTheme="minorHAnsi"/>
        </w:rPr>
        <w:fldChar w:fldCharType="end"/>
      </w:r>
      <w:r w:rsidRPr="00D94692">
        <w:rPr>
          <w:rFonts w:asciiTheme="minorHAnsi" w:hAnsiTheme="minorHAnsi"/>
        </w:rPr>
        <w:t xml:space="preserve">% of </w:t>
      </w:r>
      <w:r w:rsidR="008C0694" w:rsidRPr="00D94692">
        <w:rPr>
          <w:rFonts w:asciiTheme="minorHAnsi" w:hAnsiTheme="minorHAnsi"/>
          <w:color w:val="2E74B5"/>
        </w:rPr>
        <w:fldChar w:fldCharType="begin"/>
      </w:r>
      <w:r w:rsidR="008C0694" w:rsidRPr="00D94692">
        <w:rPr>
          <w:rFonts w:asciiTheme="minorHAnsi" w:hAnsiTheme="minorHAnsi"/>
          <w:color w:val="2E74B5"/>
        </w:rPr>
        <w:instrText xml:space="preserve"> MACROBUTTON  AcceptAllChangesInDoc "CU Short Name" </w:instrText>
      </w:r>
      <w:r w:rsidR="008C0694" w:rsidRPr="00D94692">
        <w:rPr>
          <w:rFonts w:asciiTheme="minorHAnsi" w:hAnsiTheme="minorHAnsi"/>
          <w:color w:val="2E74B5"/>
        </w:rPr>
        <w:fldChar w:fldCharType="end"/>
      </w:r>
      <w:r w:rsidR="00606FA2" w:rsidRPr="00D94692">
        <w:rPr>
          <w:rFonts w:asciiTheme="minorHAnsi" w:hAnsiTheme="minorHAnsi"/>
        </w:rPr>
        <w:t xml:space="preserve"> </w:t>
      </w:r>
      <w:r w:rsidR="005E1F4C" w:rsidRPr="00D94692">
        <w:rPr>
          <w:rFonts w:asciiTheme="minorHAnsi" w:hAnsiTheme="minorHAnsi"/>
        </w:rPr>
        <w:t xml:space="preserve">available </w:t>
      </w:r>
      <w:r w:rsidR="00606FA2" w:rsidRPr="00D94692">
        <w:rPr>
          <w:rFonts w:asciiTheme="minorHAnsi" w:hAnsiTheme="minorHAnsi"/>
        </w:rPr>
        <w:t>capital.</w:t>
      </w:r>
    </w:p>
    <w:p w14:paraId="2DF2C5F7" w14:textId="77777777" w:rsidR="00E05FCC" w:rsidRPr="00392020" w:rsidRDefault="00E05FCC" w:rsidP="00D94692">
      <w:pPr>
        <w:pStyle w:val="Heading1"/>
        <w:spacing w:line="276" w:lineRule="auto"/>
      </w:pPr>
      <w:bookmarkStart w:id="33" w:name="_Toc507416334"/>
      <w:bookmarkStart w:id="34" w:name="_Toc321901231"/>
      <w:r w:rsidRPr="00392020">
        <w:t>Non-Member loan Exposure:</w:t>
      </w:r>
      <w:bookmarkEnd w:id="33"/>
    </w:p>
    <w:p w14:paraId="55A156E4" w14:textId="77777777" w:rsidR="00CB6910" w:rsidRPr="00D94692" w:rsidRDefault="0045046C" w:rsidP="00D94692">
      <w:pPr>
        <w:pStyle w:val="ListParagraph"/>
        <w:spacing w:before="120" w:after="60" w:line="276" w:lineRule="auto"/>
        <w:ind w:left="0"/>
        <w:contextualSpacing w:val="0"/>
        <w:jc w:val="both"/>
        <w:rPr>
          <w:rFonts w:asciiTheme="minorHAnsi" w:hAnsiTheme="minorHAnsi"/>
        </w:rPr>
      </w:pPr>
      <w:r w:rsidRPr="00D94692">
        <w:rPr>
          <w:rFonts w:asciiTheme="minorHAnsi" w:hAnsiTheme="minorHAnsi"/>
          <w:color w:val="2E74B5"/>
        </w:rPr>
        <w:fldChar w:fldCharType="begin"/>
      </w:r>
      <w:r w:rsidRPr="00D94692">
        <w:rPr>
          <w:rFonts w:asciiTheme="minorHAnsi" w:hAnsiTheme="minorHAnsi"/>
          <w:color w:val="2E74B5"/>
        </w:rPr>
        <w:instrText xml:space="preserve"> MACROBUTTON  AcceptAllChangesInDoc "Credit Union Name" </w:instrText>
      </w:r>
      <w:r w:rsidRPr="00D94692">
        <w:rPr>
          <w:rFonts w:asciiTheme="minorHAnsi" w:hAnsiTheme="minorHAnsi"/>
          <w:color w:val="2E74B5"/>
        </w:rPr>
        <w:fldChar w:fldCharType="end"/>
      </w:r>
      <w:r w:rsidR="005467AA" w:rsidRPr="00D94692">
        <w:rPr>
          <w:rFonts w:asciiTheme="minorHAnsi" w:hAnsiTheme="minorHAnsi"/>
        </w:rPr>
        <w:t xml:space="preserve">principal purpose is to provide loans to </w:t>
      </w:r>
      <w:r w:rsidR="00E05FCC" w:rsidRPr="00D94692">
        <w:rPr>
          <w:rFonts w:asciiTheme="minorHAnsi" w:hAnsiTheme="minorHAnsi"/>
          <w:lang w:val="en-US"/>
        </w:rPr>
        <w:t>its members</w:t>
      </w:r>
      <w:r w:rsidRPr="00D94692">
        <w:rPr>
          <w:rFonts w:asciiTheme="minorHAnsi" w:hAnsiTheme="minorHAnsi"/>
          <w:lang w:val="en-US"/>
        </w:rPr>
        <w:t xml:space="preserve"> in alignment w</w:t>
      </w:r>
      <w:r w:rsidR="00450E73" w:rsidRPr="00D94692">
        <w:rPr>
          <w:rFonts w:asciiTheme="minorHAnsi" w:hAnsiTheme="minorHAnsi"/>
          <w:lang w:val="en-US"/>
        </w:rPr>
        <w:t>i</w:t>
      </w:r>
      <w:r w:rsidRPr="00D94692">
        <w:rPr>
          <w:rFonts w:asciiTheme="minorHAnsi" w:hAnsiTheme="minorHAnsi"/>
          <w:lang w:val="en-US"/>
        </w:rPr>
        <w:t>th the CU Act S</w:t>
      </w:r>
      <w:r w:rsidR="00834D27" w:rsidRPr="00D94692">
        <w:rPr>
          <w:rFonts w:asciiTheme="minorHAnsi" w:hAnsiTheme="minorHAnsi"/>
          <w:lang w:val="en-US"/>
        </w:rPr>
        <w:t xml:space="preserve"> </w:t>
      </w:r>
      <w:r w:rsidRPr="00D94692">
        <w:rPr>
          <w:rFonts w:asciiTheme="minorHAnsi" w:hAnsiTheme="minorHAnsi"/>
          <w:lang w:val="en-US"/>
        </w:rPr>
        <w:t>26</w:t>
      </w:r>
      <w:r w:rsidR="00834D27" w:rsidRPr="00D94692">
        <w:rPr>
          <w:rFonts w:asciiTheme="minorHAnsi" w:hAnsiTheme="minorHAnsi"/>
          <w:lang w:val="en-US"/>
        </w:rPr>
        <w:t xml:space="preserve"> </w:t>
      </w:r>
      <w:r w:rsidRPr="00D94692">
        <w:rPr>
          <w:rFonts w:asciiTheme="minorHAnsi" w:hAnsiTheme="minorHAnsi"/>
          <w:lang w:val="en-US"/>
        </w:rPr>
        <w:t>(1)</w:t>
      </w:r>
      <w:r w:rsidR="00E05FCC" w:rsidRPr="00D94692">
        <w:rPr>
          <w:rFonts w:asciiTheme="minorHAnsi" w:hAnsiTheme="minorHAnsi"/>
          <w:lang w:val="en-US"/>
        </w:rPr>
        <w:t xml:space="preserve">. </w:t>
      </w:r>
      <w:r w:rsidR="005467AA" w:rsidRPr="00D94692">
        <w:rPr>
          <w:rFonts w:asciiTheme="minorHAnsi" w:hAnsiTheme="minorHAnsi"/>
          <w:lang w:val="en-US"/>
        </w:rPr>
        <w:t>Loans to non-members are restricted to conditions prescribed under the CU (Principal) Regulations.</w:t>
      </w:r>
    </w:p>
    <w:p w14:paraId="298F5194" w14:textId="77777777" w:rsidR="00E05FCC" w:rsidRPr="00D94692" w:rsidRDefault="0045046C" w:rsidP="00D94692">
      <w:pPr>
        <w:pStyle w:val="ListParagraph"/>
        <w:spacing w:before="120" w:after="60" w:line="276" w:lineRule="auto"/>
        <w:ind w:left="0"/>
        <w:contextualSpacing w:val="0"/>
        <w:jc w:val="both"/>
        <w:rPr>
          <w:rFonts w:asciiTheme="minorHAnsi" w:hAnsiTheme="minorHAnsi"/>
        </w:rPr>
      </w:pPr>
      <w:r w:rsidRPr="00D94692">
        <w:rPr>
          <w:rFonts w:asciiTheme="minorHAnsi" w:hAnsiTheme="minorHAnsi"/>
          <w:lang w:val="en-US"/>
        </w:rPr>
        <w:t>N</w:t>
      </w:r>
      <w:r w:rsidR="001C35F6" w:rsidRPr="00D94692">
        <w:rPr>
          <w:rFonts w:asciiTheme="minorHAnsi" w:hAnsiTheme="minorHAnsi"/>
          <w:lang w:val="en-US"/>
        </w:rPr>
        <w:t xml:space="preserve">on-member loans may be considered to </w:t>
      </w:r>
      <w:r w:rsidR="00607898" w:rsidRPr="00D94692">
        <w:rPr>
          <w:rFonts w:asciiTheme="minorHAnsi" w:hAnsiTheme="minorHAnsi"/>
          <w:lang w:val="en-US"/>
        </w:rPr>
        <w:t>manage a</w:t>
      </w:r>
      <w:r w:rsidR="001C35F6" w:rsidRPr="00D94692">
        <w:rPr>
          <w:rFonts w:asciiTheme="minorHAnsi" w:hAnsiTheme="minorHAnsi"/>
          <w:lang w:val="en-US"/>
        </w:rPr>
        <w:t xml:space="preserve"> temporary liquidity</w:t>
      </w:r>
      <w:r w:rsidR="00607898" w:rsidRPr="00D94692">
        <w:rPr>
          <w:rFonts w:asciiTheme="minorHAnsi" w:hAnsiTheme="minorHAnsi"/>
          <w:lang w:val="en-US"/>
        </w:rPr>
        <w:t xml:space="preserve"> surplus</w:t>
      </w:r>
      <w:r w:rsidR="001C35F6" w:rsidRPr="00D94692">
        <w:rPr>
          <w:rFonts w:asciiTheme="minorHAnsi" w:hAnsiTheme="minorHAnsi"/>
          <w:lang w:val="en-US"/>
        </w:rPr>
        <w:t>, representing imbalances between member deposit and member loans.</w:t>
      </w:r>
      <w:r w:rsidR="000240DF" w:rsidRPr="00D94692">
        <w:rPr>
          <w:rFonts w:asciiTheme="minorHAnsi" w:hAnsiTheme="minorHAnsi"/>
          <w:lang w:val="en-US"/>
        </w:rPr>
        <w:t xml:space="preserve"> Board approval is required where the </w:t>
      </w:r>
      <w:r w:rsidR="000240DF" w:rsidRPr="00D94692">
        <w:rPr>
          <w:rFonts w:asciiTheme="minorHAnsi" w:hAnsiTheme="minorHAnsi"/>
          <w:color w:val="2E74B5"/>
        </w:rPr>
        <w:fldChar w:fldCharType="begin"/>
      </w:r>
      <w:r w:rsidR="000240DF" w:rsidRPr="00D94692">
        <w:rPr>
          <w:rFonts w:asciiTheme="minorHAnsi" w:hAnsiTheme="minorHAnsi"/>
          <w:color w:val="2E74B5"/>
        </w:rPr>
        <w:instrText xml:space="preserve"> MACROBUTTON  AcceptAllChangesInDoc "Credit Union Name" </w:instrText>
      </w:r>
      <w:r w:rsidR="000240DF" w:rsidRPr="00D94692">
        <w:rPr>
          <w:rFonts w:asciiTheme="minorHAnsi" w:hAnsiTheme="minorHAnsi"/>
          <w:color w:val="2E74B5"/>
        </w:rPr>
        <w:fldChar w:fldCharType="end"/>
      </w:r>
      <w:r w:rsidR="00607898" w:rsidRPr="00D94692">
        <w:rPr>
          <w:rFonts w:asciiTheme="minorHAnsi" w:hAnsiTheme="minorHAnsi"/>
        </w:rPr>
        <w:t>L</w:t>
      </w:r>
      <w:r w:rsidR="000240DF" w:rsidRPr="00D94692">
        <w:rPr>
          <w:rFonts w:asciiTheme="minorHAnsi" w:hAnsiTheme="minorHAnsi"/>
        </w:rPr>
        <w:t>oan/Deposit ratio exceeds</w:t>
      </w:r>
      <w:r w:rsidR="003225CD" w:rsidRPr="00D94692">
        <w:rPr>
          <w:rFonts w:asciiTheme="minorHAnsi" w:hAnsiTheme="minorHAnsi"/>
        </w:rPr>
        <w:t xml:space="preserve"> 9</w:t>
      </w:r>
      <w:r w:rsidR="00D367B3" w:rsidRPr="00D94692">
        <w:rPr>
          <w:rFonts w:asciiTheme="minorHAnsi" w:hAnsiTheme="minorHAnsi"/>
        </w:rPr>
        <w:t>2.5</w:t>
      </w:r>
      <w:r w:rsidR="003225CD" w:rsidRPr="00D94692">
        <w:rPr>
          <w:rFonts w:asciiTheme="minorHAnsi" w:hAnsiTheme="minorHAnsi"/>
        </w:rPr>
        <w:t xml:space="preserve">% and will not be available if the loan/deposit ratio exceeds 95%. </w:t>
      </w:r>
      <w:r w:rsidR="00834D27" w:rsidRPr="00D94692">
        <w:rPr>
          <w:rFonts w:asciiTheme="minorHAnsi" w:hAnsiTheme="minorHAnsi"/>
        </w:rPr>
        <w:t xml:space="preserve">Exceptions require Board (Risk Committee) approval. </w:t>
      </w:r>
      <w:r w:rsidR="003225CD" w:rsidRPr="00D94692">
        <w:rPr>
          <w:rFonts w:asciiTheme="minorHAnsi" w:hAnsiTheme="minorHAnsi"/>
        </w:rPr>
        <w:t xml:space="preserve">Aggregate </w:t>
      </w:r>
      <w:r w:rsidR="00E05FCC" w:rsidRPr="00D94692">
        <w:rPr>
          <w:rFonts w:asciiTheme="minorHAnsi" w:hAnsiTheme="minorHAnsi"/>
        </w:rPr>
        <w:t>non-member loan exposure will be contained within a maximum of 15% of total loans, including</w:t>
      </w:r>
      <w:r w:rsidR="001C35F6" w:rsidRPr="00D94692">
        <w:rPr>
          <w:rFonts w:asciiTheme="minorHAnsi" w:hAnsiTheme="minorHAnsi"/>
        </w:rPr>
        <w:t xml:space="preserve"> the following loan programs, approved by </w:t>
      </w:r>
      <w:r w:rsidR="006A751B" w:rsidRPr="00D94692">
        <w:rPr>
          <w:rFonts w:asciiTheme="minorHAnsi" w:hAnsiTheme="minorHAnsi"/>
        </w:rPr>
        <w:t>CUDGC</w:t>
      </w:r>
      <w:r w:rsidR="001C35F6" w:rsidRPr="00D94692">
        <w:rPr>
          <w:rFonts w:asciiTheme="minorHAnsi" w:hAnsiTheme="minorHAnsi"/>
        </w:rPr>
        <w:t xml:space="preserve"> under a Special Loans Program:</w:t>
      </w:r>
    </w:p>
    <w:p w14:paraId="7A39720E" w14:textId="77777777" w:rsidR="00E05FCC" w:rsidRPr="00D94692" w:rsidRDefault="00E05FCC" w:rsidP="00D94692">
      <w:pPr>
        <w:pStyle w:val="ListParagraph"/>
        <w:numPr>
          <w:ilvl w:val="0"/>
          <w:numId w:val="2"/>
        </w:numPr>
        <w:spacing w:before="120" w:after="60" w:line="276" w:lineRule="auto"/>
        <w:ind w:left="360" w:hanging="274"/>
        <w:jc w:val="both"/>
        <w:rPr>
          <w:rFonts w:asciiTheme="minorHAnsi" w:hAnsiTheme="minorHAnsi"/>
        </w:rPr>
      </w:pPr>
      <w:r w:rsidRPr="00D94692">
        <w:rPr>
          <w:rFonts w:asciiTheme="minorHAnsi" w:hAnsiTheme="minorHAnsi"/>
        </w:rPr>
        <w:t>Residential Mortgage Pools maximum 10</w:t>
      </w:r>
      <w:proofErr w:type="gramStart"/>
      <w:r w:rsidRPr="00D94692">
        <w:rPr>
          <w:rFonts w:asciiTheme="minorHAnsi" w:hAnsiTheme="minorHAnsi"/>
        </w:rPr>
        <w:t>%  total</w:t>
      </w:r>
      <w:proofErr w:type="gramEnd"/>
      <w:r w:rsidRPr="00D94692">
        <w:rPr>
          <w:rFonts w:asciiTheme="minorHAnsi" w:hAnsiTheme="minorHAnsi"/>
        </w:rPr>
        <w:t xml:space="preserve"> loans </w:t>
      </w:r>
    </w:p>
    <w:p w14:paraId="08D97462" w14:textId="77777777" w:rsidR="00E05FCC" w:rsidRPr="00D94692" w:rsidRDefault="00E05FCC" w:rsidP="00D94692">
      <w:pPr>
        <w:pStyle w:val="ListParagraph"/>
        <w:numPr>
          <w:ilvl w:val="0"/>
          <w:numId w:val="2"/>
        </w:numPr>
        <w:spacing w:before="120" w:after="60" w:line="276" w:lineRule="auto"/>
        <w:ind w:left="360" w:hanging="274"/>
        <w:jc w:val="both"/>
        <w:rPr>
          <w:rFonts w:asciiTheme="minorHAnsi" w:hAnsiTheme="minorHAnsi"/>
        </w:rPr>
      </w:pPr>
      <w:r w:rsidRPr="00D94692">
        <w:rPr>
          <w:rFonts w:asciiTheme="minorHAnsi" w:hAnsiTheme="minorHAnsi"/>
        </w:rPr>
        <w:t>Syndicate participations (excluding CU lead syndications) maximum 5% total loans</w:t>
      </w:r>
    </w:p>
    <w:p w14:paraId="1952794B" w14:textId="77777777" w:rsidR="00E05FCC" w:rsidRPr="00D94692" w:rsidRDefault="00E05FCC" w:rsidP="00D94692">
      <w:pPr>
        <w:pStyle w:val="ListParagraph"/>
        <w:numPr>
          <w:ilvl w:val="0"/>
          <w:numId w:val="2"/>
        </w:numPr>
        <w:spacing w:before="120" w:after="60" w:line="276" w:lineRule="auto"/>
        <w:ind w:left="360" w:hanging="274"/>
        <w:jc w:val="both"/>
        <w:rPr>
          <w:rFonts w:asciiTheme="minorHAnsi" w:hAnsiTheme="minorHAnsi"/>
        </w:rPr>
      </w:pPr>
      <w:r w:rsidRPr="00D94692">
        <w:rPr>
          <w:rFonts w:asciiTheme="minorHAnsi" w:hAnsiTheme="minorHAnsi"/>
        </w:rPr>
        <w:t>Other Special Loan Programs maximum 5% total loans.</w:t>
      </w:r>
    </w:p>
    <w:p w14:paraId="0C03F3BD" w14:textId="77777777" w:rsidR="001C35F6" w:rsidRPr="000735D1" w:rsidRDefault="001C35F6" w:rsidP="00D94692">
      <w:pPr>
        <w:pStyle w:val="ListParagraph"/>
        <w:spacing w:before="120" w:after="60" w:line="276" w:lineRule="auto"/>
        <w:ind w:left="0"/>
        <w:contextualSpacing w:val="0"/>
        <w:jc w:val="both"/>
        <w:rPr>
          <w:rFonts w:asciiTheme="minorHAnsi" w:hAnsiTheme="minorHAnsi"/>
          <w:color w:val="2E74B5" w:themeColor="accent1" w:themeShade="BF"/>
        </w:rPr>
      </w:pPr>
      <w:r w:rsidRPr="000735D1">
        <w:rPr>
          <w:rFonts w:asciiTheme="minorHAnsi" w:hAnsiTheme="minorHAnsi"/>
          <w:color w:val="2E74B5" w:themeColor="accent1" w:themeShade="BF"/>
        </w:rPr>
        <w:t xml:space="preserve">Note: The above limits </w:t>
      </w:r>
      <w:r w:rsidR="00CB6910" w:rsidRPr="000735D1">
        <w:rPr>
          <w:rFonts w:asciiTheme="minorHAnsi" w:hAnsiTheme="minorHAnsi"/>
          <w:color w:val="2E74B5" w:themeColor="accent1" w:themeShade="BF"/>
        </w:rPr>
        <w:t xml:space="preserve">are </w:t>
      </w:r>
      <w:r w:rsidR="00607898" w:rsidRPr="000735D1">
        <w:rPr>
          <w:rFonts w:asciiTheme="minorHAnsi" w:hAnsiTheme="minorHAnsi"/>
          <w:color w:val="2E74B5" w:themeColor="accent1" w:themeShade="BF"/>
        </w:rPr>
        <w:t xml:space="preserve">examples and should </w:t>
      </w:r>
      <w:r w:rsidR="00D94692" w:rsidRPr="000735D1">
        <w:rPr>
          <w:rFonts w:asciiTheme="minorHAnsi" w:hAnsiTheme="minorHAnsi"/>
          <w:color w:val="2E74B5" w:themeColor="accent1" w:themeShade="BF"/>
        </w:rPr>
        <w:t>reflect the Board risk appetite.</w:t>
      </w:r>
      <w:r w:rsidR="00607898" w:rsidRPr="000735D1">
        <w:rPr>
          <w:rFonts w:asciiTheme="minorHAnsi" w:hAnsiTheme="minorHAnsi"/>
          <w:color w:val="2E74B5" w:themeColor="accent1" w:themeShade="BF"/>
        </w:rPr>
        <w:t xml:space="preserve"> The limits m</w:t>
      </w:r>
      <w:r w:rsidRPr="000735D1">
        <w:rPr>
          <w:rFonts w:asciiTheme="minorHAnsi" w:hAnsiTheme="minorHAnsi"/>
          <w:color w:val="2E74B5" w:themeColor="accent1" w:themeShade="BF"/>
        </w:rPr>
        <w:t xml:space="preserve">ay </w:t>
      </w:r>
      <w:r w:rsidR="00607898" w:rsidRPr="000735D1">
        <w:rPr>
          <w:rFonts w:asciiTheme="minorHAnsi" w:hAnsiTheme="minorHAnsi"/>
          <w:color w:val="2E74B5" w:themeColor="accent1" w:themeShade="BF"/>
        </w:rPr>
        <w:t xml:space="preserve">also </w:t>
      </w:r>
      <w:r w:rsidRPr="000735D1">
        <w:rPr>
          <w:rFonts w:asciiTheme="minorHAnsi" w:hAnsiTheme="minorHAnsi"/>
          <w:color w:val="2E74B5" w:themeColor="accent1" w:themeShade="BF"/>
        </w:rPr>
        <w:t>be presented as a percentage</w:t>
      </w:r>
      <w:r w:rsidR="000240DF" w:rsidRPr="000735D1">
        <w:rPr>
          <w:rFonts w:asciiTheme="minorHAnsi" w:hAnsiTheme="minorHAnsi"/>
          <w:color w:val="2E74B5" w:themeColor="accent1" w:themeShade="BF"/>
        </w:rPr>
        <w:t xml:space="preserve"> </w:t>
      </w:r>
      <w:r w:rsidRPr="000735D1">
        <w:rPr>
          <w:rFonts w:asciiTheme="minorHAnsi" w:hAnsiTheme="minorHAnsi"/>
          <w:color w:val="2E74B5" w:themeColor="accent1" w:themeShade="BF"/>
        </w:rPr>
        <w:t>of available capital.</w:t>
      </w:r>
    </w:p>
    <w:p w14:paraId="0EAA43B3" w14:textId="77777777" w:rsidR="00026276" w:rsidRPr="00392020" w:rsidRDefault="00026276" w:rsidP="00392020">
      <w:pPr>
        <w:pStyle w:val="Heading1"/>
        <w:spacing w:line="276" w:lineRule="auto"/>
      </w:pPr>
      <w:bookmarkStart w:id="35" w:name="_Toc507416335"/>
      <w:r w:rsidRPr="00392020">
        <w:t>Real Estate Lending</w:t>
      </w:r>
      <w:bookmarkEnd w:id="34"/>
      <w:bookmarkEnd w:id="35"/>
    </w:p>
    <w:p w14:paraId="34F3D9AF" w14:textId="77777777" w:rsidR="00026276" w:rsidRPr="00392020" w:rsidRDefault="00026276" w:rsidP="00392020">
      <w:pPr>
        <w:pStyle w:val="Heading2"/>
        <w:spacing w:before="120" w:after="0" w:line="276" w:lineRule="auto"/>
        <w:jc w:val="both"/>
        <w:rPr>
          <w:rFonts w:asciiTheme="minorHAnsi" w:hAnsiTheme="minorHAnsi"/>
          <w:sz w:val="24"/>
          <w:szCs w:val="24"/>
        </w:rPr>
      </w:pPr>
      <w:bookmarkStart w:id="36" w:name="_Toc321901232"/>
      <w:bookmarkStart w:id="37" w:name="_Toc507416336"/>
      <w:r w:rsidRPr="00392020">
        <w:rPr>
          <w:rFonts w:asciiTheme="minorHAnsi" w:hAnsiTheme="minorHAnsi"/>
          <w:sz w:val="24"/>
          <w:szCs w:val="24"/>
        </w:rPr>
        <w:t>Retail</w:t>
      </w:r>
      <w:bookmarkEnd w:id="36"/>
      <w:bookmarkEnd w:id="37"/>
    </w:p>
    <w:p w14:paraId="09F2D622" w14:textId="77777777" w:rsidR="00802544" w:rsidRPr="00593E1A" w:rsidRDefault="00802544" w:rsidP="00593E1A">
      <w:pPr>
        <w:spacing w:before="120" w:after="60" w:line="276" w:lineRule="auto"/>
        <w:jc w:val="both"/>
        <w:rPr>
          <w:rFonts w:asciiTheme="minorHAnsi" w:hAnsiTheme="minorHAnsi"/>
          <w:szCs w:val="22"/>
        </w:rPr>
      </w:pPr>
      <w:r w:rsidRPr="00593E1A">
        <w:rPr>
          <w:rFonts w:asciiTheme="minorHAnsi" w:hAnsiTheme="minorHAnsi"/>
          <w:szCs w:val="22"/>
        </w:rPr>
        <w:t>Residential mortgage lending represents a material loan exposure within the credit union’s loan mix. Mortgage lending practices are required to be prudent</w:t>
      </w:r>
      <w:r w:rsidR="004F1171" w:rsidRPr="00593E1A">
        <w:rPr>
          <w:rFonts w:asciiTheme="minorHAnsi" w:hAnsiTheme="minorHAnsi"/>
          <w:szCs w:val="22"/>
        </w:rPr>
        <w:t xml:space="preserve">, </w:t>
      </w:r>
      <w:proofErr w:type="gramStart"/>
      <w:r w:rsidR="004F1171" w:rsidRPr="00593E1A">
        <w:rPr>
          <w:rFonts w:asciiTheme="minorHAnsi" w:hAnsiTheme="minorHAnsi"/>
          <w:szCs w:val="22"/>
        </w:rPr>
        <w:t>take into account</w:t>
      </w:r>
      <w:proofErr w:type="gramEnd"/>
      <w:r w:rsidR="004F1171" w:rsidRPr="00593E1A">
        <w:rPr>
          <w:rFonts w:asciiTheme="minorHAnsi" w:hAnsiTheme="minorHAnsi"/>
          <w:szCs w:val="22"/>
        </w:rPr>
        <w:t xml:space="preserve"> market developments</w:t>
      </w:r>
      <w:r w:rsidRPr="00593E1A">
        <w:rPr>
          <w:rFonts w:asciiTheme="minorHAnsi" w:hAnsiTheme="minorHAnsi"/>
          <w:szCs w:val="22"/>
        </w:rPr>
        <w:t xml:space="preserve"> and contain appropriate risk controls to support the safety and soundness of the credit union. Residential mortgage concentration should be a critical component within portfolio risk management activities</w:t>
      </w:r>
      <w:r w:rsidR="00FB4287" w:rsidRPr="00593E1A">
        <w:rPr>
          <w:rFonts w:asciiTheme="minorHAnsi" w:hAnsiTheme="minorHAnsi"/>
          <w:szCs w:val="22"/>
        </w:rPr>
        <w:t xml:space="preserve"> and the Board risk appetite</w:t>
      </w:r>
      <w:r w:rsidRPr="00593E1A">
        <w:rPr>
          <w:rFonts w:asciiTheme="minorHAnsi" w:hAnsiTheme="minorHAnsi"/>
          <w:szCs w:val="22"/>
        </w:rPr>
        <w:t>.</w:t>
      </w:r>
    </w:p>
    <w:p w14:paraId="440D9BBC" w14:textId="77777777" w:rsidR="00802544" w:rsidRPr="00593E1A" w:rsidRDefault="00802544" w:rsidP="00593E1A">
      <w:pPr>
        <w:spacing w:before="120" w:after="60" w:line="276" w:lineRule="auto"/>
        <w:jc w:val="both"/>
        <w:rPr>
          <w:rFonts w:asciiTheme="minorHAnsi" w:hAnsiTheme="minorHAnsi"/>
          <w:szCs w:val="22"/>
        </w:rPr>
      </w:pPr>
      <w:r w:rsidRPr="00593E1A">
        <w:rPr>
          <w:rFonts w:asciiTheme="minorHAnsi" w:hAnsiTheme="minorHAnsi"/>
          <w:szCs w:val="22"/>
        </w:rPr>
        <w:t>The Board will provide “high level” guidance and oversight relative to Management’s development of a Residential Mortgage Underwriting Policy (RMUP).</w:t>
      </w:r>
    </w:p>
    <w:p w14:paraId="591C5CC7" w14:textId="77777777" w:rsidR="00802544" w:rsidRPr="00593E1A" w:rsidRDefault="00802544" w:rsidP="00593E1A">
      <w:pPr>
        <w:spacing w:before="120" w:after="60" w:line="276" w:lineRule="auto"/>
        <w:jc w:val="both"/>
        <w:rPr>
          <w:rFonts w:asciiTheme="minorHAnsi" w:hAnsiTheme="minorHAnsi"/>
          <w:szCs w:val="22"/>
        </w:rPr>
      </w:pPr>
      <w:r w:rsidRPr="00593E1A">
        <w:rPr>
          <w:rFonts w:asciiTheme="minorHAnsi" w:hAnsiTheme="minorHAnsi"/>
          <w:szCs w:val="22"/>
        </w:rPr>
        <w:t xml:space="preserve">The RMUP, as a stand-alone management operational policy, or a compilation of mortgage policy and procedure documents, will reflect industry best practice, </w:t>
      </w:r>
      <w:r w:rsidR="00C97B86" w:rsidRPr="00593E1A">
        <w:rPr>
          <w:rFonts w:asciiTheme="minorHAnsi" w:hAnsiTheme="minorHAnsi"/>
          <w:szCs w:val="22"/>
        </w:rPr>
        <w:t>including consideration of</w:t>
      </w:r>
      <w:r w:rsidRPr="00593E1A">
        <w:rPr>
          <w:rFonts w:asciiTheme="minorHAnsi" w:hAnsiTheme="minorHAnsi"/>
          <w:szCs w:val="22"/>
        </w:rPr>
        <w:t xml:space="preserve"> the </w:t>
      </w:r>
      <w:r w:rsidR="00D935A8" w:rsidRPr="00593E1A">
        <w:rPr>
          <w:rFonts w:asciiTheme="minorHAnsi" w:hAnsiTheme="minorHAnsi"/>
          <w:szCs w:val="22"/>
        </w:rPr>
        <w:t>following fundamental</w:t>
      </w:r>
      <w:r w:rsidRPr="00593E1A">
        <w:rPr>
          <w:rFonts w:asciiTheme="minorHAnsi" w:hAnsiTheme="minorHAnsi"/>
          <w:szCs w:val="22"/>
        </w:rPr>
        <w:t xml:space="preserve"> principles for sound residential mortgage underwriting:</w:t>
      </w:r>
    </w:p>
    <w:p w14:paraId="30202432" w14:textId="77777777" w:rsidR="00802544" w:rsidRPr="00593E1A" w:rsidRDefault="00802544" w:rsidP="00593E1A">
      <w:pPr>
        <w:numPr>
          <w:ilvl w:val="0"/>
          <w:numId w:val="23"/>
        </w:numPr>
        <w:spacing w:before="120" w:after="60" w:line="276" w:lineRule="auto"/>
        <w:contextualSpacing/>
        <w:jc w:val="both"/>
        <w:rPr>
          <w:rFonts w:asciiTheme="minorHAnsi" w:hAnsiTheme="minorHAnsi"/>
          <w:szCs w:val="22"/>
        </w:rPr>
      </w:pPr>
      <w:r w:rsidRPr="00593E1A">
        <w:rPr>
          <w:rFonts w:asciiTheme="minorHAnsi" w:hAnsiTheme="minorHAnsi"/>
          <w:szCs w:val="22"/>
        </w:rPr>
        <w:t>Residential mortgage practices and procedures will comply with the credit union’s comprehensive Residential Mortgage Underwriting Policy</w:t>
      </w:r>
      <w:r w:rsidR="00FB4287" w:rsidRPr="00593E1A">
        <w:rPr>
          <w:rFonts w:asciiTheme="minorHAnsi" w:hAnsiTheme="minorHAnsi"/>
          <w:szCs w:val="22"/>
        </w:rPr>
        <w:t xml:space="preserve">, with concentration limits approved within the Board Risk Appetite </w:t>
      </w:r>
      <w:proofErr w:type="gramStart"/>
      <w:r w:rsidR="00FB4287" w:rsidRPr="00593E1A">
        <w:rPr>
          <w:rFonts w:asciiTheme="minorHAnsi" w:hAnsiTheme="minorHAnsi"/>
          <w:szCs w:val="22"/>
        </w:rPr>
        <w:t>framework, and</w:t>
      </w:r>
      <w:proofErr w:type="gramEnd"/>
      <w:r w:rsidR="00FB4287" w:rsidRPr="00593E1A">
        <w:rPr>
          <w:rFonts w:asciiTheme="minorHAnsi" w:hAnsiTheme="minorHAnsi"/>
          <w:szCs w:val="22"/>
        </w:rPr>
        <w:t xml:space="preserve"> aligned with the Enterprise Risk Management framework</w:t>
      </w:r>
      <w:r w:rsidR="00593E1A">
        <w:rPr>
          <w:rFonts w:asciiTheme="minorHAnsi" w:hAnsiTheme="minorHAnsi"/>
          <w:szCs w:val="22"/>
        </w:rPr>
        <w:t>.</w:t>
      </w:r>
    </w:p>
    <w:p w14:paraId="5C196D33" w14:textId="77777777" w:rsidR="00802544" w:rsidRPr="00593E1A" w:rsidRDefault="00802544" w:rsidP="00593E1A">
      <w:pPr>
        <w:numPr>
          <w:ilvl w:val="0"/>
          <w:numId w:val="23"/>
        </w:numPr>
        <w:spacing w:before="120" w:after="60" w:line="276" w:lineRule="auto"/>
        <w:contextualSpacing/>
        <w:jc w:val="both"/>
        <w:rPr>
          <w:rFonts w:asciiTheme="minorHAnsi" w:hAnsiTheme="minorHAnsi"/>
          <w:szCs w:val="22"/>
        </w:rPr>
      </w:pPr>
      <w:r w:rsidRPr="00593E1A">
        <w:rPr>
          <w:rFonts w:asciiTheme="minorHAnsi" w:hAnsiTheme="minorHAnsi"/>
          <w:szCs w:val="22"/>
        </w:rPr>
        <w:t>Reasonable due diligence is required to confirm the mortgagee’s identity, background</w:t>
      </w:r>
      <w:r w:rsidR="004F1171" w:rsidRPr="00593E1A">
        <w:rPr>
          <w:rFonts w:asciiTheme="minorHAnsi" w:hAnsiTheme="minorHAnsi"/>
          <w:szCs w:val="22"/>
        </w:rPr>
        <w:t xml:space="preserve">, </w:t>
      </w:r>
      <w:r w:rsidR="00F12603" w:rsidRPr="00593E1A">
        <w:rPr>
          <w:rFonts w:asciiTheme="minorHAnsi" w:hAnsiTheme="minorHAnsi"/>
          <w:szCs w:val="22"/>
        </w:rPr>
        <w:t xml:space="preserve">employment </w:t>
      </w:r>
      <w:r w:rsidRPr="00593E1A">
        <w:rPr>
          <w:rFonts w:asciiTheme="minorHAnsi" w:hAnsiTheme="minorHAnsi"/>
          <w:szCs w:val="22"/>
        </w:rPr>
        <w:t>and demonstrated willingness to service deb</w:t>
      </w:r>
      <w:r w:rsidR="00593E1A">
        <w:rPr>
          <w:rFonts w:asciiTheme="minorHAnsi" w:hAnsiTheme="minorHAnsi"/>
          <w:szCs w:val="22"/>
        </w:rPr>
        <w:t>t obligations on a timely basis.</w:t>
      </w:r>
    </w:p>
    <w:p w14:paraId="567F31F7" w14:textId="30DAED7A" w:rsidR="0003644A" w:rsidRPr="00593E1A" w:rsidRDefault="00593E1A" w:rsidP="00593E1A">
      <w:pPr>
        <w:numPr>
          <w:ilvl w:val="0"/>
          <w:numId w:val="23"/>
        </w:numPr>
        <w:spacing w:before="120" w:after="60" w:line="276" w:lineRule="auto"/>
        <w:contextualSpacing/>
        <w:jc w:val="both"/>
        <w:rPr>
          <w:rFonts w:asciiTheme="minorHAnsi" w:hAnsiTheme="minorHAnsi"/>
          <w:szCs w:val="22"/>
        </w:rPr>
      </w:pPr>
      <w:r w:rsidRPr="000859A6">
        <w:rPr>
          <w:rFonts w:asciiTheme="minorHAnsi" w:hAnsiTheme="minorHAnsi"/>
          <w:color w:val="2E74B5"/>
          <w:szCs w:val="22"/>
        </w:rPr>
        <w:fldChar w:fldCharType="begin"/>
      </w:r>
      <w:r w:rsidRPr="000859A6">
        <w:rPr>
          <w:rFonts w:asciiTheme="minorHAnsi" w:hAnsiTheme="minorHAnsi"/>
          <w:color w:val="2E74B5"/>
          <w:szCs w:val="22"/>
        </w:rPr>
        <w:instrText xml:space="preserve"> MACROBUTTON  AcceptAllChangesInDoc "CU Short Name" </w:instrText>
      </w:r>
      <w:r w:rsidRPr="000859A6">
        <w:rPr>
          <w:rFonts w:asciiTheme="minorHAnsi" w:hAnsiTheme="minorHAnsi"/>
          <w:color w:val="2E74B5"/>
          <w:szCs w:val="22"/>
        </w:rPr>
        <w:fldChar w:fldCharType="end"/>
      </w:r>
      <w:r w:rsidR="00F12603" w:rsidRPr="00593E1A">
        <w:rPr>
          <w:rFonts w:asciiTheme="minorHAnsi" w:hAnsiTheme="minorHAnsi"/>
          <w:szCs w:val="22"/>
        </w:rPr>
        <w:t xml:space="preserve"> will complete a diligent verification of the borro</w:t>
      </w:r>
      <w:r>
        <w:rPr>
          <w:rFonts w:asciiTheme="minorHAnsi" w:hAnsiTheme="minorHAnsi"/>
          <w:szCs w:val="22"/>
        </w:rPr>
        <w:t>wer’s income.</w:t>
      </w:r>
      <w:r w:rsidR="00F12603" w:rsidRPr="00593E1A">
        <w:rPr>
          <w:rFonts w:asciiTheme="minorHAnsi" w:hAnsiTheme="minorHAnsi"/>
          <w:szCs w:val="22"/>
        </w:rPr>
        <w:t xml:space="preserve"> Collateral values are not a substitution for income verification</w:t>
      </w:r>
      <w:r>
        <w:rPr>
          <w:rFonts w:asciiTheme="minorHAnsi" w:hAnsiTheme="minorHAnsi"/>
          <w:szCs w:val="22"/>
        </w:rPr>
        <w:t>.</w:t>
      </w:r>
      <w:r w:rsidR="00F23534" w:rsidRPr="00593E1A">
        <w:rPr>
          <w:rFonts w:asciiTheme="minorHAnsi" w:hAnsiTheme="minorHAnsi"/>
          <w:szCs w:val="22"/>
        </w:rPr>
        <w:t xml:space="preserve"> </w:t>
      </w:r>
      <w:r w:rsidR="00802544" w:rsidRPr="00593E1A">
        <w:rPr>
          <w:rFonts w:asciiTheme="minorHAnsi" w:hAnsiTheme="minorHAnsi"/>
          <w:szCs w:val="22"/>
        </w:rPr>
        <w:t>Capacity to service debt obligations on a timely ba</w:t>
      </w:r>
      <w:r>
        <w:rPr>
          <w:rFonts w:asciiTheme="minorHAnsi" w:hAnsiTheme="minorHAnsi"/>
          <w:szCs w:val="22"/>
        </w:rPr>
        <w:t>sis will be adequately assessed.</w:t>
      </w:r>
      <w:r w:rsidR="00F23534" w:rsidRPr="00593E1A">
        <w:rPr>
          <w:rFonts w:asciiTheme="minorHAnsi" w:hAnsiTheme="minorHAnsi"/>
          <w:szCs w:val="22"/>
        </w:rPr>
        <w:t xml:space="preserve"> Income should be calculated </w:t>
      </w:r>
      <w:proofErr w:type="gramStart"/>
      <w:r w:rsidR="00F23534" w:rsidRPr="00593E1A">
        <w:rPr>
          <w:rFonts w:asciiTheme="minorHAnsi" w:hAnsiTheme="minorHAnsi"/>
          <w:szCs w:val="22"/>
        </w:rPr>
        <w:t>conservatively</w:t>
      </w:r>
      <w:proofErr w:type="gramEnd"/>
      <w:r w:rsidR="00F23534" w:rsidRPr="00593E1A">
        <w:rPr>
          <w:rFonts w:asciiTheme="minorHAnsi" w:hAnsiTheme="minorHAnsi"/>
          <w:szCs w:val="22"/>
        </w:rPr>
        <w:t xml:space="preserve"> and resilience assessed appropriately, particularly for inclusion of rental income.</w:t>
      </w:r>
      <w:r w:rsidR="00531FA1" w:rsidRPr="00593E1A">
        <w:rPr>
          <w:rFonts w:asciiTheme="minorHAnsi" w:hAnsiTheme="minorHAnsi"/>
          <w:szCs w:val="22"/>
        </w:rPr>
        <w:t xml:space="preserve"> </w:t>
      </w:r>
      <w:r w:rsidR="009B467C">
        <w:rPr>
          <w:rFonts w:asciiTheme="minorHAnsi" w:hAnsiTheme="minorHAnsi"/>
          <w:szCs w:val="22"/>
        </w:rPr>
        <w:t xml:space="preserve">The </w:t>
      </w:r>
      <w:r w:rsidR="00531FA1" w:rsidRPr="00593E1A">
        <w:rPr>
          <w:rFonts w:asciiTheme="minorHAnsi" w:hAnsiTheme="minorHAnsi"/>
          <w:szCs w:val="22"/>
        </w:rPr>
        <w:t>G</w:t>
      </w:r>
      <w:r w:rsidR="00134B03" w:rsidRPr="00593E1A">
        <w:rPr>
          <w:rFonts w:asciiTheme="minorHAnsi" w:hAnsiTheme="minorHAnsi"/>
          <w:szCs w:val="22"/>
        </w:rPr>
        <w:t xml:space="preserve">ross </w:t>
      </w:r>
      <w:r w:rsidR="00531FA1" w:rsidRPr="00593E1A">
        <w:rPr>
          <w:rFonts w:asciiTheme="minorHAnsi" w:hAnsiTheme="minorHAnsi"/>
          <w:szCs w:val="22"/>
        </w:rPr>
        <w:t>D</w:t>
      </w:r>
      <w:r w:rsidR="00134B03" w:rsidRPr="00593E1A">
        <w:rPr>
          <w:rFonts w:asciiTheme="minorHAnsi" w:hAnsiTheme="minorHAnsi"/>
          <w:szCs w:val="22"/>
        </w:rPr>
        <w:t xml:space="preserve">ebt </w:t>
      </w:r>
      <w:r w:rsidR="00531FA1" w:rsidRPr="00593E1A">
        <w:rPr>
          <w:rFonts w:asciiTheme="minorHAnsi" w:hAnsiTheme="minorHAnsi"/>
          <w:szCs w:val="22"/>
        </w:rPr>
        <w:t>S</w:t>
      </w:r>
      <w:r w:rsidR="00134B03" w:rsidRPr="00593E1A">
        <w:rPr>
          <w:rFonts w:asciiTheme="minorHAnsi" w:hAnsiTheme="minorHAnsi"/>
          <w:szCs w:val="22"/>
        </w:rPr>
        <w:t xml:space="preserve">ervice </w:t>
      </w:r>
      <w:r w:rsidR="00531FA1" w:rsidRPr="00593E1A">
        <w:rPr>
          <w:rFonts w:asciiTheme="minorHAnsi" w:hAnsiTheme="minorHAnsi"/>
          <w:szCs w:val="22"/>
        </w:rPr>
        <w:t>R</w:t>
      </w:r>
      <w:r w:rsidR="00134B03" w:rsidRPr="00593E1A">
        <w:rPr>
          <w:rFonts w:asciiTheme="minorHAnsi" w:hAnsiTheme="minorHAnsi"/>
          <w:szCs w:val="22"/>
        </w:rPr>
        <w:t>atio (GDSR)</w:t>
      </w:r>
      <w:r w:rsidR="00531FA1" w:rsidRPr="00593E1A">
        <w:rPr>
          <w:rFonts w:asciiTheme="minorHAnsi" w:hAnsiTheme="minorHAnsi"/>
          <w:szCs w:val="22"/>
        </w:rPr>
        <w:t xml:space="preserve"> </w:t>
      </w:r>
      <w:r w:rsidR="00FB4287" w:rsidRPr="00593E1A">
        <w:rPr>
          <w:rFonts w:asciiTheme="minorHAnsi" w:hAnsiTheme="minorHAnsi"/>
          <w:szCs w:val="22"/>
        </w:rPr>
        <w:t xml:space="preserve">and </w:t>
      </w:r>
      <w:r w:rsidR="00FB4287" w:rsidRPr="00593E1A">
        <w:rPr>
          <w:rFonts w:asciiTheme="minorHAnsi" w:hAnsiTheme="minorHAnsi"/>
          <w:szCs w:val="22"/>
        </w:rPr>
        <w:lastRenderedPageBreak/>
        <w:t>T</w:t>
      </w:r>
      <w:r w:rsidR="00134B03" w:rsidRPr="00593E1A">
        <w:rPr>
          <w:rFonts w:asciiTheme="minorHAnsi" w:hAnsiTheme="minorHAnsi"/>
          <w:szCs w:val="22"/>
        </w:rPr>
        <w:t xml:space="preserve">otal </w:t>
      </w:r>
      <w:r w:rsidR="00FB4287" w:rsidRPr="00593E1A">
        <w:rPr>
          <w:rFonts w:asciiTheme="minorHAnsi" w:hAnsiTheme="minorHAnsi"/>
          <w:szCs w:val="22"/>
        </w:rPr>
        <w:t>D</w:t>
      </w:r>
      <w:r w:rsidR="00134B03" w:rsidRPr="00593E1A">
        <w:rPr>
          <w:rFonts w:asciiTheme="minorHAnsi" w:hAnsiTheme="minorHAnsi"/>
          <w:szCs w:val="22"/>
        </w:rPr>
        <w:t xml:space="preserve">ebt </w:t>
      </w:r>
      <w:r w:rsidR="00FB4287" w:rsidRPr="00593E1A">
        <w:rPr>
          <w:rFonts w:asciiTheme="minorHAnsi" w:hAnsiTheme="minorHAnsi"/>
          <w:szCs w:val="22"/>
        </w:rPr>
        <w:t>S</w:t>
      </w:r>
      <w:r w:rsidR="00134B03" w:rsidRPr="00593E1A">
        <w:rPr>
          <w:rFonts w:asciiTheme="minorHAnsi" w:hAnsiTheme="minorHAnsi"/>
          <w:szCs w:val="22"/>
        </w:rPr>
        <w:t xml:space="preserve">ervice </w:t>
      </w:r>
      <w:r w:rsidR="00FB4287" w:rsidRPr="00593E1A">
        <w:rPr>
          <w:rFonts w:asciiTheme="minorHAnsi" w:hAnsiTheme="minorHAnsi"/>
          <w:szCs w:val="22"/>
        </w:rPr>
        <w:t>R</w:t>
      </w:r>
      <w:r w:rsidR="00134B03" w:rsidRPr="00593E1A">
        <w:rPr>
          <w:rFonts w:asciiTheme="minorHAnsi" w:hAnsiTheme="minorHAnsi"/>
          <w:szCs w:val="22"/>
        </w:rPr>
        <w:t>atio (TDSR)</w:t>
      </w:r>
      <w:r w:rsidR="00FB4287" w:rsidRPr="00593E1A">
        <w:rPr>
          <w:rFonts w:asciiTheme="minorHAnsi" w:hAnsiTheme="minorHAnsi"/>
          <w:szCs w:val="22"/>
        </w:rPr>
        <w:t xml:space="preserve"> </w:t>
      </w:r>
      <w:r w:rsidR="009B467C">
        <w:rPr>
          <w:rFonts w:asciiTheme="minorHAnsi" w:hAnsiTheme="minorHAnsi"/>
          <w:szCs w:val="22"/>
        </w:rPr>
        <w:t xml:space="preserve">for uninsured mortgage and HELOC originations, </w:t>
      </w:r>
      <w:r w:rsidR="00FB4287" w:rsidRPr="00593E1A">
        <w:rPr>
          <w:rFonts w:asciiTheme="minorHAnsi" w:hAnsiTheme="minorHAnsi"/>
          <w:szCs w:val="22"/>
        </w:rPr>
        <w:t xml:space="preserve">is to be </w:t>
      </w:r>
      <w:r w:rsidR="009B467C">
        <w:rPr>
          <w:rFonts w:asciiTheme="minorHAnsi" w:hAnsiTheme="minorHAnsi"/>
          <w:szCs w:val="22"/>
        </w:rPr>
        <w:t xml:space="preserve">stressed, </w:t>
      </w:r>
      <w:r w:rsidR="00531FA1" w:rsidRPr="00593E1A">
        <w:rPr>
          <w:rFonts w:asciiTheme="minorHAnsi" w:hAnsiTheme="minorHAnsi"/>
          <w:szCs w:val="22"/>
        </w:rPr>
        <w:t xml:space="preserve">based on </w:t>
      </w:r>
      <w:r w:rsidR="00EC4DCC" w:rsidRPr="00593E1A">
        <w:rPr>
          <w:rFonts w:asciiTheme="minorHAnsi" w:hAnsiTheme="minorHAnsi"/>
          <w:szCs w:val="22"/>
        </w:rPr>
        <w:t xml:space="preserve">the </w:t>
      </w:r>
      <w:r w:rsidR="00FB4287" w:rsidRPr="00593E1A">
        <w:rPr>
          <w:rFonts w:asciiTheme="minorHAnsi" w:hAnsiTheme="minorHAnsi"/>
          <w:szCs w:val="22"/>
        </w:rPr>
        <w:t>greater of the</w:t>
      </w:r>
      <w:r w:rsidR="006A5785" w:rsidRPr="00593E1A">
        <w:rPr>
          <w:rFonts w:asciiTheme="minorHAnsi" w:hAnsiTheme="minorHAnsi"/>
          <w:szCs w:val="22"/>
        </w:rPr>
        <w:t xml:space="preserve"> contract rate</w:t>
      </w:r>
      <w:r w:rsidR="00134B03" w:rsidRPr="00593E1A">
        <w:rPr>
          <w:rFonts w:asciiTheme="minorHAnsi" w:hAnsiTheme="minorHAnsi"/>
          <w:szCs w:val="22"/>
        </w:rPr>
        <w:t xml:space="preserve"> plus 200 BPS</w:t>
      </w:r>
      <w:r w:rsidR="00FF46D0" w:rsidRPr="00593E1A">
        <w:rPr>
          <w:rFonts w:asciiTheme="minorHAnsi" w:hAnsiTheme="minorHAnsi"/>
          <w:szCs w:val="22"/>
        </w:rPr>
        <w:t xml:space="preserve"> </w:t>
      </w:r>
      <w:r w:rsidR="009D42CC">
        <w:rPr>
          <w:rFonts w:asciiTheme="minorHAnsi" w:hAnsiTheme="minorHAnsi"/>
          <w:szCs w:val="22"/>
        </w:rPr>
        <w:t>or</w:t>
      </w:r>
      <w:r w:rsidR="00134B03" w:rsidRPr="00593E1A">
        <w:rPr>
          <w:rFonts w:asciiTheme="minorHAnsi" w:hAnsiTheme="minorHAnsi"/>
          <w:szCs w:val="22"/>
        </w:rPr>
        <w:t xml:space="preserve"> </w:t>
      </w:r>
      <w:r w:rsidR="00947CCE" w:rsidRPr="00593E1A">
        <w:rPr>
          <w:rFonts w:asciiTheme="minorHAnsi" w:hAnsiTheme="minorHAnsi"/>
          <w:szCs w:val="22"/>
        </w:rPr>
        <w:t xml:space="preserve">the </w:t>
      </w:r>
      <w:r w:rsidR="00C34CC7" w:rsidRPr="00593E1A">
        <w:rPr>
          <w:rFonts w:asciiTheme="minorHAnsi" w:hAnsiTheme="minorHAnsi"/>
          <w:szCs w:val="22"/>
        </w:rPr>
        <w:t xml:space="preserve">Bank of Canada </w:t>
      </w:r>
      <w:r w:rsidR="00947CCE" w:rsidRPr="00593E1A">
        <w:rPr>
          <w:rFonts w:asciiTheme="minorHAnsi" w:hAnsiTheme="minorHAnsi"/>
          <w:szCs w:val="22"/>
        </w:rPr>
        <w:t xml:space="preserve">5-year </w:t>
      </w:r>
      <w:r w:rsidR="00FB4287" w:rsidRPr="00593E1A">
        <w:rPr>
          <w:rFonts w:asciiTheme="minorHAnsi" w:hAnsiTheme="minorHAnsi"/>
          <w:szCs w:val="22"/>
        </w:rPr>
        <w:t xml:space="preserve">mortgage </w:t>
      </w:r>
      <w:r w:rsidR="00947CCE" w:rsidRPr="00593E1A">
        <w:rPr>
          <w:rFonts w:asciiTheme="minorHAnsi" w:hAnsiTheme="minorHAnsi"/>
          <w:szCs w:val="22"/>
        </w:rPr>
        <w:t>rate</w:t>
      </w:r>
      <w:r w:rsidR="00E65E5D" w:rsidRPr="00593E1A">
        <w:rPr>
          <w:rFonts w:asciiTheme="minorHAnsi" w:hAnsiTheme="minorHAnsi"/>
          <w:szCs w:val="22"/>
        </w:rPr>
        <w:t>.</w:t>
      </w:r>
    </w:p>
    <w:p w14:paraId="68ACB4E8" w14:textId="77777777" w:rsidR="00802544" w:rsidRPr="00593E1A" w:rsidRDefault="00802544" w:rsidP="00593E1A">
      <w:pPr>
        <w:numPr>
          <w:ilvl w:val="0"/>
          <w:numId w:val="23"/>
        </w:numPr>
        <w:spacing w:before="120" w:after="60" w:line="276" w:lineRule="auto"/>
        <w:contextualSpacing/>
        <w:jc w:val="both"/>
        <w:rPr>
          <w:rFonts w:asciiTheme="minorHAnsi" w:hAnsiTheme="minorHAnsi"/>
          <w:szCs w:val="22"/>
        </w:rPr>
      </w:pPr>
      <w:r w:rsidRPr="00593E1A">
        <w:rPr>
          <w:rFonts w:asciiTheme="minorHAnsi" w:hAnsiTheme="minorHAnsi"/>
          <w:szCs w:val="22"/>
        </w:rPr>
        <w:t>Sound collateral management and appraisal processes for the</w:t>
      </w:r>
      <w:r w:rsidR="00593E1A">
        <w:rPr>
          <w:rFonts w:asciiTheme="minorHAnsi" w:hAnsiTheme="minorHAnsi"/>
          <w:szCs w:val="22"/>
        </w:rPr>
        <w:t xml:space="preserve"> underlying mortgage properties.</w:t>
      </w:r>
      <w:r w:rsidR="00FF46D0" w:rsidRPr="00593E1A">
        <w:rPr>
          <w:rFonts w:asciiTheme="minorHAnsi" w:hAnsiTheme="minorHAnsi"/>
          <w:szCs w:val="22"/>
        </w:rPr>
        <w:t xml:space="preserve"> </w:t>
      </w:r>
      <w:r w:rsidR="00134B03" w:rsidRPr="00593E1A">
        <w:rPr>
          <w:rFonts w:asciiTheme="minorHAnsi" w:hAnsiTheme="minorHAnsi"/>
          <w:szCs w:val="22"/>
        </w:rPr>
        <w:t xml:space="preserve">Maximum </w:t>
      </w:r>
      <w:r w:rsidR="00134B03" w:rsidRPr="00593E1A">
        <w:rPr>
          <w:rFonts w:asciiTheme="minorHAnsi" w:hAnsiTheme="minorHAnsi"/>
          <w:szCs w:val="22"/>
          <w:lang w:val="en-US"/>
        </w:rPr>
        <w:t xml:space="preserve">Loan-to-Value on all mortgage products is to be dynamic, relative to the value of the mortgage and local residential market conditions. </w:t>
      </w:r>
      <w:r w:rsidR="006A5785" w:rsidRPr="00593E1A">
        <w:rPr>
          <w:rFonts w:asciiTheme="minorHAnsi" w:hAnsiTheme="minorHAnsi"/>
          <w:szCs w:val="22"/>
        </w:rPr>
        <w:t xml:space="preserve">The Standard Loan-to-Value is a maximum 65% for </w:t>
      </w:r>
      <w:r w:rsidR="00134B03" w:rsidRPr="00593E1A">
        <w:rPr>
          <w:rFonts w:asciiTheme="minorHAnsi" w:hAnsiTheme="minorHAnsi"/>
          <w:szCs w:val="22"/>
        </w:rPr>
        <w:t xml:space="preserve">uninsured </w:t>
      </w:r>
      <w:r w:rsidR="006A5785" w:rsidRPr="00593E1A">
        <w:rPr>
          <w:rFonts w:asciiTheme="minorHAnsi" w:hAnsiTheme="minorHAnsi"/>
          <w:szCs w:val="22"/>
        </w:rPr>
        <w:t>n</w:t>
      </w:r>
      <w:r w:rsidR="00FF46D0" w:rsidRPr="00593E1A">
        <w:rPr>
          <w:rFonts w:asciiTheme="minorHAnsi" w:hAnsiTheme="minorHAnsi"/>
          <w:szCs w:val="22"/>
          <w:lang w:val="en-US"/>
        </w:rPr>
        <w:t>on-conforming mortgages</w:t>
      </w:r>
      <w:r w:rsidR="006A5785" w:rsidRPr="00593E1A">
        <w:rPr>
          <w:rFonts w:asciiTheme="minorHAnsi" w:hAnsiTheme="minorHAnsi"/>
          <w:szCs w:val="22"/>
          <w:lang w:val="en-US"/>
        </w:rPr>
        <w:t xml:space="preserve"> and </w:t>
      </w:r>
      <w:r w:rsidR="00FF46D0" w:rsidRPr="00593E1A">
        <w:rPr>
          <w:rFonts w:asciiTheme="minorHAnsi" w:hAnsiTheme="minorHAnsi"/>
          <w:szCs w:val="22"/>
          <w:lang w:val="en-US"/>
        </w:rPr>
        <w:t>Home Equity Lines of Credit</w:t>
      </w:r>
      <w:r w:rsidR="006A5785" w:rsidRPr="00593E1A">
        <w:rPr>
          <w:rFonts w:asciiTheme="minorHAnsi" w:hAnsiTheme="minorHAnsi"/>
          <w:szCs w:val="22"/>
          <w:lang w:val="en-US"/>
        </w:rPr>
        <w:t xml:space="preserve">. </w:t>
      </w:r>
      <w:r w:rsidRPr="00593E1A">
        <w:rPr>
          <w:rFonts w:asciiTheme="minorHAnsi" w:hAnsiTheme="minorHAnsi"/>
          <w:szCs w:val="22"/>
        </w:rPr>
        <w:t xml:space="preserve">Effective credit and counterparty risk </w:t>
      </w:r>
      <w:r w:rsidRPr="006538DB">
        <w:rPr>
          <w:rFonts w:asciiTheme="minorHAnsi" w:hAnsiTheme="minorHAnsi"/>
          <w:szCs w:val="22"/>
        </w:rPr>
        <w:t>management</w:t>
      </w:r>
      <w:r w:rsidRPr="00593E1A">
        <w:rPr>
          <w:rFonts w:asciiTheme="minorHAnsi" w:hAnsiTheme="minorHAnsi"/>
          <w:szCs w:val="22"/>
        </w:rPr>
        <w:t xml:space="preserve"> practices and procedures that support residential mortgage underwriting and credit portfolio management, including, as a</w:t>
      </w:r>
      <w:r w:rsidR="00593E1A">
        <w:rPr>
          <w:rFonts w:asciiTheme="minorHAnsi" w:hAnsiTheme="minorHAnsi"/>
          <w:szCs w:val="22"/>
        </w:rPr>
        <w:t>ppropriate mortgage insurance.</w:t>
      </w:r>
    </w:p>
    <w:p w14:paraId="44A522DD" w14:textId="23D6E514" w:rsidR="00E65E5D" w:rsidRPr="006538DB" w:rsidRDefault="00E65E5D" w:rsidP="00AB4E48">
      <w:pPr>
        <w:pStyle w:val="NormalWeb"/>
        <w:spacing w:before="120" w:beforeAutospacing="0" w:after="60" w:afterAutospacing="0" w:line="276" w:lineRule="auto"/>
        <w:ind w:right="29"/>
        <w:contextualSpacing/>
        <w:jc w:val="both"/>
        <w:rPr>
          <w:rFonts w:asciiTheme="minorHAnsi" w:hAnsiTheme="minorHAnsi" w:cs="Arial"/>
          <w:szCs w:val="22"/>
        </w:rPr>
      </w:pPr>
      <w:r w:rsidRPr="006538DB">
        <w:rPr>
          <w:rFonts w:asciiTheme="minorHAnsi" w:hAnsiTheme="minorHAnsi" w:cs="Arial"/>
          <w:szCs w:val="22"/>
        </w:rPr>
        <w:t xml:space="preserve">Exceptions may be approved, if mitigated or warranted, documented within the mortgage application and approved under </w:t>
      </w:r>
      <w:r w:rsidR="009B467C">
        <w:rPr>
          <w:rFonts w:asciiTheme="minorHAnsi" w:hAnsiTheme="minorHAnsi" w:cs="Arial"/>
          <w:szCs w:val="22"/>
        </w:rPr>
        <w:t xml:space="preserve">appropriate </w:t>
      </w:r>
      <w:r w:rsidRPr="006538DB">
        <w:rPr>
          <w:rFonts w:asciiTheme="minorHAnsi" w:hAnsiTheme="minorHAnsi" w:cs="Arial"/>
          <w:szCs w:val="22"/>
        </w:rPr>
        <w:t>approval authorities. The aggregate number and amount of exceptions will be reported by exception type to the Board or Risk Committee at least annually for:</w:t>
      </w:r>
    </w:p>
    <w:p w14:paraId="0E37586C" w14:textId="53F9DB9D" w:rsidR="00E65E5D" w:rsidRPr="006538DB" w:rsidRDefault="00E65E5D" w:rsidP="00593E1A">
      <w:pPr>
        <w:numPr>
          <w:ilvl w:val="0"/>
          <w:numId w:val="28"/>
        </w:numPr>
        <w:spacing w:before="120" w:after="60" w:line="276" w:lineRule="auto"/>
        <w:contextualSpacing/>
        <w:jc w:val="both"/>
        <w:rPr>
          <w:rFonts w:asciiTheme="minorHAnsi" w:hAnsiTheme="minorHAnsi" w:cs="Arial"/>
          <w:szCs w:val="22"/>
        </w:rPr>
      </w:pPr>
      <w:r w:rsidRPr="006538DB">
        <w:rPr>
          <w:rFonts w:asciiTheme="minorHAnsi" w:hAnsiTheme="minorHAnsi" w:cs="Arial"/>
          <w:szCs w:val="22"/>
        </w:rPr>
        <w:t xml:space="preserve">Stressed </w:t>
      </w:r>
      <w:r w:rsidR="00134B03" w:rsidRPr="006538DB">
        <w:rPr>
          <w:rFonts w:asciiTheme="minorHAnsi" w:hAnsiTheme="minorHAnsi" w:cs="Arial"/>
          <w:szCs w:val="22"/>
        </w:rPr>
        <w:t>GDSR and TDSR</w:t>
      </w:r>
      <w:r w:rsidRPr="006538DB">
        <w:rPr>
          <w:rFonts w:asciiTheme="minorHAnsi" w:hAnsiTheme="minorHAnsi" w:cs="Arial"/>
          <w:szCs w:val="22"/>
        </w:rPr>
        <w:t xml:space="preserve"> that exceed </w:t>
      </w:r>
      <w:r w:rsidR="00BB2A35">
        <w:rPr>
          <w:rFonts w:asciiTheme="minorHAnsi" w:hAnsiTheme="minorHAnsi" w:cs="Arial"/>
          <w:szCs w:val="22"/>
        </w:rPr>
        <w:t xml:space="preserve">maximum </w:t>
      </w:r>
      <w:r w:rsidRPr="006538DB">
        <w:rPr>
          <w:rFonts w:asciiTheme="minorHAnsi" w:hAnsiTheme="minorHAnsi" w:cs="Arial"/>
          <w:szCs w:val="22"/>
        </w:rPr>
        <w:t xml:space="preserve">mortgage </w:t>
      </w:r>
      <w:r w:rsidR="00BB2A35">
        <w:rPr>
          <w:rFonts w:asciiTheme="minorHAnsi" w:hAnsiTheme="minorHAnsi" w:cs="Arial"/>
          <w:szCs w:val="22"/>
        </w:rPr>
        <w:t xml:space="preserve">debt service capacity </w:t>
      </w:r>
      <w:r w:rsidRPr="006538DB">
        <w:rPr>
          <w:rFonts w:asciiTheme="minorHAnsi" w:hAnsiTheme="minorHAnsi" w:cs="Arial"/>
          <w:szCs w:val="22"/>
        </w:rPr>
        <w:t>guidelines</w:t>
      </w:r>
      <w:r w:rsidR="000735D1" w:rsidRPr="006538DB">
        <w:rPr>
          <w:rFonts w:asciiTheme="minorHAnsi" w:hAnsiTheme="minorHAnsi" w:cs="Arial"/>
          <w:szCs w:val="22"/>
        </w:rPr>
        <w:t>.</w:t>
      </w:r>
    </w:p>
    <w:p w14:paraId="7C47DC6E" w14:textId="4F663C0F" w:rsidR="00E65E5D" w:rsidRPr="006538DB" w:rsidRDefault="00E65E5D" w:rsidP="00593E1A">
      <w:pPr>
        <w:numPr>
          <w:ilvl w:val="0"/>
          <w:numId w:val="28"/>
        </w:numPr>
        <w:spacing w:before="120" w:after="60" w:line="276" w:lineRule="auto"/>
        <w:contextualSpacing/>
        <w:jc w:val="both"/>
        <w:rPr>
          <w:rFonts w:asciiTheme="minorHAnsi" w:hAnsiTheme="minorHAnsi" w:cs="Arial"/>
          <w:szCs w:val="22"/>
        </w:rPr>
      </w:pPr>
      <w:r w:rsidRPr="006538DB">
        <w:rPr>
          <w:rFonts w:asciiTheme="minorHAnsi" w:hAnsiTheme="minorHAnsi" w:cs="Arial"/>
          <w:szCs w:val="22"/>
        </w:rPr>
        <w:t xml:space="preserve">Loan-to-Value greater than 65% and less than 80% for </w:t>
      </w:r>
      <w:r w:rsidR="006E1730">
        <w:rPr>
          <w:rFonts w:asciiTheme="minorHAnsi" w:hAnsiTheme="minorHAnsi" w:cs="Arial"/>
          <w:szCs w:val="22"/>
        </w:rPr>
        <w:t xml:space="preserve">unamortized </w:t>
      </w:r>
      <w:r w:rsidRPr="006538DB">
        <w:rPr>
          <w:rFonts w:asciiTheme="minorHAnsi" w:hAnsiTheme="minorHAnsi" w:cs="Arial"/>
          <w:szCs w:val="22"/>
        </w:rPr>
        <w:t xml:space="preserve">Home Equity Lines of Credit and </w:t>
      </w:r>
      <w:r w:rsidR="00134B03" w:rsidRPr="006538DB">
        <w:rPr>
          <w:rFonts w:asciiTheme="minorHAnsi" w:hAnsiTheme="minorHAnsi" w:cs="Arial"/>
          <w:szCs w:val="22"/>
        </w:rPr>
        <w:t xml:space="preserve">uninsured </w:t>
      </w:r>
      <w:r w:rsidRPr="006538DB">
        <w:rPr>
          <w:rFonts w:asciiTheme="minorHAnsi" w:hAnsiTheme="minorHAnsi" w:cs="Arial"/>
          <w:szCs w:val="22"/>
        </w:rPr>
        <w:t>non-conforming mortgages.</w:t>
      </w:r>
    </w:p>
    <w:p w14:paraId="6BE066D0" w14:textId="77777777" w:rsidR="00802544" w:rsidRPr="00593E1A" w:rsidRDefault="00802544" w:rsidP="00593E1A">
      <w:pPr>
        <w:spacing w:before="120" w:after="60" w:line="276" w:lineRule="auto"/>
        <w:jc w:val="both"/>
        <w:rPr>
          <w:rFonts w:asciiTheme="minorHAnsi" w:hAnsiTheme="minorHAnsi"/>
          <w:szCs w:val="22"/>
        </w:rPr>
      </w:pPr>
      <w:r w:rsidRPr="00593E1A">
        <w:rPr>
          <w:rFonts w:asciiTheme="minorHAnsi" w:hAnsiTheme="minorHAnsi"/>
          <w:szCs w:val="22"/>
        </w:rPr>
        <w:t>The RMUP will apply to residential mortgages, home equity lines of credit and other consumer financial products that use residential property as security, including mortgage pool purchases</w:t>
      </w:r>
      <w:r w:rsidR="004D01A8" w:rsidRPr="00593E1A">
        <w:rPr>
          <w:rFonts w:asciiTheme="minorHAnsi" w:hAnsiTheme="minorHAnsi"/>
          <w:szCs w:val="22"/>
        </w:rPr>
        <w:t xml:space="preserve"> where individual borrower credit risk belongs to the credit union</w:t>
      </w:r>
      <w:r w:rsidRPr="00593E1A">
        <w:rPr>
          <w:rFonts w:asciiTheme="minorHAnsi" w:hAnsiTheme="minorHAnsi"/>
          <w:szCs w:val="22"/>
        </w:rPr>
        <w:t>.</w:t>
      </w:r>
    </w:p>
    <w:p w14:paraId="1AD52756" w14:textId="77777777" w:rsidR="00802544" w:rsidRPr="00593E1A" w:rsidRDefault="00802544" w:rsidP="00593E1A">
      <w:pPr>
        <w:pStyle w:val="ListParagraph"/>
        <w:spacing w:before="120" w:after="60" w:line="276" w:lineRule="auto"/>
        <w:ind w:left="0"/>
        <w:contextualSpacing w:val="0"/>
        <w:jc w:val="both"/>
        <w:rPr>
          <w:rFonts w:asciiTheme="minorHAnsi" w:hAnsiTheme="minorHAnsi"/>
        </w:rPr>
      </w:pPr>
      <w:r w:rsidRPr="00593E1A">
        <w:rPr>
          <w:rFonts w:asciiTheme="minorHAnsi" w:hAnsiTheme="minorHAnsi"/>
        </w:rPr>
        <w:t xml:space="preserve">Loans secured by residential mortgages must comply with quality mortgage loan requirements of the Credit Union Act and Regulations and </w:t>
      </w:r>
      <w:r w:rsidR="004F1171" w:rsidRPr="00593E1A">
        <w:rPr>
          <w:rFonts w:asciiTheme="minorHAnsi" w:hAnsiTheme="minorHAnsi"/>
        </w:rPr>
        <w:t xml:space="preserve">be consistent with </w:t>
      </w:r>
      <w:r w:rsidRPr="00593E1A">
        <w:rPr>
          <w:rFonts w:asciiTheme="minorHAnsi" w:hAnsiTheme="minorHAnsi"/>
        </w:rPr>
        <w:t xml:space="preserve">CUDGC </w:t>
      </w:r>
      <w:r w:rsidR="00433148" w:rsidRPr="00593E1A">
        <w:rPr>
          <w:rFonts w:asciiTheme="minorHAnsi" w:hAnsiTheme="minorHAnsi"/>
        </w:rPr>
        <w:t>Lending Guidelines</w:t>
      </w:r>
      <w:r w:rsidRPr="00593E1A">
        <w:rPr>
          <w:rFonts w:asciiTheme="minorHAnsi" w:hAnsiTheme="minorHAnsi"/>
        </w:rPr>
        <w:t>, including the maximum prescribed fair market lending value, unless the excess is covered by a government guarantee or mortgage default insurance.</w:t>
      </w:r>
    </w:p>
    <w:p w14:paraId="7E52C5C3" w14:textId="77777777" w:rsidR="00802544" w:rsidRPr="00593E1A" w:rsidRDefault="00802544" w:rsidP="00593E1A">
      <w:pPr>
        <w:pStyle w:val="ListParagraph"/>
        <w:spacing w:before="120" w:after="60" w:line="276" w:lineRule="auto"/>
        <w:ind w:left="0"/>
        <w:contextualSpacing w:val="0"/>
        <w:jc w:val="both"/>
        <w:rPr>
          <w:rFonts w:asciiTheme="minorHAnsi" w:hAnsiTheme="minorHAnsi"/>
        </w:rPr>
      </w:pPr>
      <w:r w:rsidRPr="00593E1A">
        <w:rPr>
          <w:rFonts w:asciiTheme="minorHAnsi" w:hAnsiTheme="minorHAnsi"/>
        </w:rPr>
        <w:t xml:space="preserve">Maximum lending values for uninsured mortgages will be based on a sliding scale by discounting appraised values based on exposure over a specified amount and by geographical location, managed by </w:t>
      </w:r>
      <w:r w:rsidR="004D01A8" w:rsidRPr="00593E1A">
        <w:rPr>
          <w:rFonts w:asciiTheme="minorHAnsi" w:hAnsiTheme="minorHAnsi"/>
        </w:rPr>
        <w:t>the c</w:t>
      </w:r>
      <w:r w:rsidRPr="00593E1A">
        <w:rPr>
          <w:rFonts w:asciiTheme="minorHAnsi" w:hAnsiTheme="minorHAnsi"/>
        </w:rPr>
        <w:t xml:space="preserve">redit </w:t>
      </w:r>
      <w:r w:rsidR="004D01A8" w:rsidRPr="00593E1A">
        <w:rPr>
          <w:rFonts w:asciiTheme="minorHAnsi" w:hAnsiTheme="minorHAnsi"/>
        </w:rPr>
        <w:t>oversight function.</w:t>
      </w:r>
    </w:p>
    <w:p w14:paraId="4879BA88" w14:textId="77777777" w:rsidR="00F12603" w:rsidRDefault="00FD6157" w:rsidP="00593E1A">
      <w:pPr>
        <w:pStyle w:val="ListParagraph"/>
        <w:spacing w:before="120" w:after="60" w:line="276" w:lineRule="auto"/>
        <w:ind w:left="0"/>
        <w:contextualSpacing w:val="0"/>
        <w:jc w:val="both"/>
        <w:rPr>
          <w:rFonts w:asciiTheme="minorHAnsi" w:hAnsiTheme="minorHAnsi"/>
        </w:rPr>
      </w:pPr>
      <w:r w:rsidRPr="00593E1A">
        <w:rPr>
          <w:rFonts w:asciiTheme="minorHAnsi" w:hAnsiTheme="minorHAnsi"/>
        </w:rPr>
        <w:t>Uninsured</w:t>
      </w:r>
      <w:r w:rsidR="00134B03" w:rsidRPr="00593E1A">
        <w:rPr>
          <w:rFonts w:asciiTheme="minorHAnsi" w:hAnsiTheme="minorHAnsi"/>
        </w:rPr>
        <w:t xml:space="preserve"> n</w:t>
      </w:r>
      <w:r w:rsidR="00F12603" w:rsidRPr="00593E1A">
        <w:rPr>
          <w:rFonts w:asciiTheme="minorHAnsi" w:hAnsiTheme="minorHAnsi"/>
        </w:rPr>
        <w:t>on-conforming mort</w:t>
      </w:r>
      <w:r w:rsidR="00531FA1" w:rsidRPr="00593E1A">
        <w:rPr>
          <w:rFonts w:asciiTheme="minorHAnsi" w:hAnsiTheme="minorHAnsi"/>
        </w:rPr>
        <w:t>g</w:t>
      </w:r>
      <w:r w:rsidR="00F12603" w:rsidRPr="00593E1A">
        <w:rPr>
          <w:rFonts w:asciiTheme="minorHAnsi" w:hAnsiTheme="minorHAnsi"/>
        </w:rPr>
        <w:t>a</w:t>
      </w:r>
      <w:r w:rsidR="00531FA1" w:rsidRPr="00593E1A">
        <w:rPr>
          <w:rFonts w:asciiTheme="minorHAnsi" w:hAnsiTheme="minorHAnsi"/>
        </w:rPr>
        <w:t>g</w:t>
      </w:r>
      <w:r w:rsidR="00F12603" w:rsidRPr="00593E1A">
        <w:rPr>
          <w:rFonts w:asciiTheme="minorHAnsi" w:hAnsiTheme="minorHAnsi"/>
        </w:rPr>
        <w:t>e exposure will be contained within a maximum of 5% of the total residential consumer loan portfolio.</w:t>
      </w:r>
    </w:p>
    <w:p w14:paraId="201ADA0D" w14:textId="088E580E" w:rsidR="006E1730" w:rsidRDefault="006E1730" w:rsidP="00593E1A">
      <w:pPr>
        <w:pStyle w:val="ListParagraph"/>
        <w:spacing w:before="120" w:after="60" w:line="276" w:lineRule="auto"/>
        <w:ind w:left="0"/>
        <w:contextualSpacing w:val="0"/>
        <w:jc w:val="both"/>
        <w:rPr>
          <w:rFonts w:asciiTheme="minorHAnsi" w:hAnsiTheme="minorHAnsi"/>
        </w:rPr>
      </w:pPr>
      <w:r>
        <w:rPr>
          <w:rFonts w:asciiTheme="minorHAnsi" w:hAnsiTheme="minorHAnsi"/>
        </w:rPr>
        <w:t xml:space="preserve">Residential mortgages in excess of 25-years, to a maximum of 30-years are to be monitored and contained within 15% of the total uninsured mortgage portfolio. </w:t>
      </w:r>
      <w:r w:rsidRPr="006E1730">
        <w:rPr>
          <w:rFonts w:asciiTheme="minorHAnsi" w:eastAsia="Times New Roman" w:hAnsiTheme="minorHAnsi"/>
          <w:color w:val="2E74B5"/>
        </w:rPr>
        <w:sym w:font="Wingdings" w:char="F0DF"/>
      </w:r>
      <w:r w:rsidRPr="006E1730">
        <w:rPr>
          <w:rFonts w:asciiTheme="minorHAnsi" w:eastAsia="Times New Roman" w:hAnsiTheme="minorHAnsi"/>
          <w:color w:val="2E74B5"/>
        </w:rPr>
        <w:t xml:space="preserve"> Note if allowed</w:t>
      </w:r>
    </w:p>
    <w:p w14:paraId="7F1C87A1" w14:textId="6D68E3F9" w:rsidR="006E1730" w:rsidRPr="00593E1A" w:rsidRDefault="006E1730" w:rsidP="00593E1A">
      <w:pPr>
        <w:pStyle w:val="ListParagraph"/>
        <w:spacing w:before="120" w:after="60" w:line="276" w:lineRule="auto"/>
        <w:ind w:left="0"/>
        <w:contextualSpacing w:val="0"/>
        <w:jc w:val="both"/>
        <w:rPr>
          <w:rFonts w:asciiTheme="minorHAnsi" w:hAnsiTheme="minorHAnsi"/>
        </w:rPr>
      </w:pPr>
      <w:r>
        <w:rPr>
          <w:rFonts w:asciiTheme="minorHAnsi" w:hAnsiTheme="minorHAnsi"/>
        </w:rPr>
        <w:t xml:space="preserve">Residential mortgage terms in excess of 5-years to 10-years, </w:t>
      </w:r>
      <w:proofErr w:type="gramStart"/>
      <w:r>
        <w:rPr>
          <w:rFonts w:asciiTheme="minorHAnsi" w:hAnsiTheme="minorHAnsi"/>
        </w:rPr>
        <w:t>Are</w:t>
      </w:r>
      <w:proofErr w:type="gramEnd"/>
      <w:r>
        <w:rPr>
          <w:rFonts w:asciiTheme="minorHAnsi" w:hAnsiTheme="minorHAnsi"/>
        </w:rPr>
        <w:t xml:space="preserve"> subject to aggregate exposure limits approved by Finance and Credit departments. </w:t>
      </w:r>
      <w:r w:rsidRPr="006E1730">
        <w:rPr>
          <w:rFonts w:asciiTheme="minorHAnsi" w:eastAsia="Times New Roman" w:hAnsiTheme="minorHAnsi"/>
          <w:color w:val="2E74B5"/>
        </w:rPr>
        <w:sym w:font="Wingdings" w:char="F0DF"/>
      </w:r>
      <w:r w:rsidRPr="006E1730">
        <w:rPr>
          <w:rFonts w:asciiTheme="minorHAnsi" w:eastAsia="Times New Roman" w:hAnsiTheme="minorHAnsi"/>
          <w:color w:val="2E74B5"/>
        </w:rPr>
        <w:t xml:space="preserve"> Note if allowed</w:t>
      </w:r>
    </w:p>
    <w:p w14:paraId="00F5D471" w14:textId="77777777" w:rsidR="00802544" w:rsidRPr="00593E1A" w:rsidRDefault="00802544" w:rsidP="00593E1A">
      <w:pPr>
        <w:pStyle w:val="ListParagraph"/>
        <w:spacing w:before="120" w:after="60" w:line="276" w:lineRule="auto"/>
        <w:ind w:left="0"/>
        <w:contextualSpacing w:val="0"/>
        <w:jc w:val="both"/>
        <w:rPr>
          <w:rFonts w:asciiTheme="minorHAnsi" w:hAnsiTheme="minorHAnsi"/>
        </w:rPr>
      </w:pPr>
      <w:r w:rsidRPr="00593E1A">
        <w:rPr>
          <w:rFonts w:asciiTheme="minorHAnsi" w:hAnsiTheme="minorHAnsi"/>
        </w:rPr>
        <w:t xml:space="preserve">Aggregate out of province </w:t>
      </w:r>
      <w:r w:rsidR="004D01A8" w:rsidRPr="00593E1A">
        <w:rPr>
          <w:rFonts w:asciiTheme="minorHAnsi" w:hAnsiTheme="minorHAnsi"/>
        </w:rPr>
        <w:t xml:space="preserve">and out of market service area </w:t>
      </w:r>
      <w:r w:rsidRPr="00593E1A">
        <w:rPr>
          <w:rFonts w:asciiTheme="minorHAnsi" w:hAnsiTheme="minorHAnsi"/>
        </w:rPr>
        <w:t xml:space="preserve">mortgage loan exposure through direct loans, </w:t>
      </w:r>
      <w:r w:rsidR="00E52980" w:rsidRPr="00593E1A">
        <w:rPr>
          <w:rFonts w:asciiTheme="minorHAnsi" w:hAnsiTheme="minorHAnsi"/>
        </w:rPr>
        <w:t xml:space="preserve">loan syndications </w:t>
      </w:r>
      <w:r w:rsidRPr="00593E1A">
        <w:rPr>
          <w:rFonts w:asciiTheme="minorHAnsi" w:hAnsiTheme="minorHAnsi"/>
        </w:rPr>
        <w:t xml:space="preserve">or loan portfolio purchases </w:t>
      </w:r>
      <w:r w:rsidR="004D01A8" w:rsidRPr="00593E1A">
        <w:rPr>
          <w:rFonts w:asciiTheme="minorHAnsi" w:hAnsiTheme="minorHAnsi"/>
        </w:rPr>
        <w:t xml:space="preserve">(with credit risk exposure) </w:t>
      </w:r>
      <w:r w:rsidRPr="00593E1A">
        <w:rPr>
          <w:rFonts w:asciiTheme="minorHAnsi" w:hAnsiTheme="minorHAnsi"/>
        </w:rPr>
        <w:t xml:space="preserve">will not exceed </w:t>
      </w:r>
      <w:r w:rsidRPr="000735D1">
        <w:rPr>
          <w:rFonts w:asciiTheme="minorHAnsi" w:hAnsiTheme="minorHAnsi"/>
          <w:color w:val="2E74B5" w:themeColor="accent1" w:themeShade="BF"/>
        </w:rPr>
        <w:t xml:space="preserve">X% (e.g. 10%) </w:t>
      </w:r>
      <w:r w:rsidRPr="00593E1A">
        <w:rPr>
          <w:rFonts w:asciiTheme="minorHAnsi" w:hAnsiTheme="minorHAnsi"/>
        </w:rPr>
        <w:t>of the total residential consumer loan portfolio.</w:t>
      </w:r>
    </w:p>
    <w:p w14:paraId="71E3AF24" w14:textId="77777777" w:rsidR="00802544" w:rsidRPr="00593E1A" w:rsidRDefault="00802544" w:rsidP="00593E1A">
      <w:pPr>
        <w:pStyle w:val="ListParagraph"/>
        <w:spacing w:before="120" w:after="60" w:line="276" w:lineRule="auto"/>
        <w:ind w:left="0"/>
        <w:contextualSpacing w:val="0"/>
        <w:jc w:val="both"/>
        <w:rPr>
          <w:rFonts w:asciiTheme="minorHAnsi" w:hAnsiTheme="minorHAnsi"/>
        </w:rPr>
      </w:pPr>
      <w:r w:rsidRPr="00593E1A">
        <w:rPr>
          <w:rFonts w:asciiTheme="minorHAnsi" w:hAnsiTheme="minorHAnsi"/>
        </w:rPr>
        <w:t>Management will establish standard and exception maximum lending values by product, based on the risk characteristics of each mortgage product</w:t>
      </w:r>
      <w:r w:rsidR="00F12603" w:rsidRPr="00593E1A">
        <w:rPr>
          <w:rFonts w:asciiTheme="minorHAnsi" w:hAnsiTheme="minorHAnsi"/>
        </w:rPr>
        <w:t xml:space="preserve"> </w:t>
      </w:r>
      <w:r w:rsidRPr="00593E1A">
        <w:rPr>
          <w:rFonts w:asciiTheme="minorHAnsi" w:hAnsiTheme="minorHAnsi"/>
        </w:rPr>
        <w:t>(</w:t>
      </w:r>
      <w:r w:rsidR="002152EB">
        <w:rPr>
          <w:rFonts w:asciiTheme="minorHAnsi" w:hAnsiTheme="minorHAnsi"/>
        </w:rPr>
        <w:t>s</w:t>
      </w:r>
      <w:r w:rsidR="00D935A8" w:rsidRPr="00593E1A">
        <w:rPr>
          <w:rFonts w:asciiTheme="minorHAnsi" w:hAnsiTheme="minorHAnsi"/>
        </w:rPr>
        <w:t>ample</w:t>
      </w:r>
      <w:r w:rsidR="00CD2991" w:rsidRPr="00593E1A">
        <w:rPr>
          <w:rFonts w:asciiTheme="minorHAnsi" w:hAnsiTheme="minorHAnsi"/>
        </w:rPr>
        <w:t xml:space="preserve"> </w:t>
      </w:r>
      <w:r w:rsidRPr="00593E1A">
        <w:rPr>
          <w:rFonts w:asciiTheme="minorHAnsi" w:hAnsiTheme="minorHAnsi"/>
        </w:rPr>
        <w:t>table</w:t>
      </w:r>
      <w:r w:rsidR="00CD2991" w:rsidRPr="00593E1A">
        <w:rPr>
          <w:rFonts w:asciiTheme="minorHAnsi" w:hAnsiTheme="minorHAnsi"/>
        </w:rPr>
        <w:t xml:space="preserve"> in appendix ``B``</w:t>
      </w:r>
      <w:r w:rsidRPr="00593E1A">
        <w:rPr>
          <w:rFonts w:asciiTheme="minorHAnsi" w:hAnsiTheme="minorHAnsi"/>
        </w:rPr>
        <w:t xml:space="preserve"> attached).</w:t>
      </w:r>
    </w:p>
    <w:p w14:paraId="46C2EBD8" w14:textId="77777777" w:rsidR="00802544" w:rsidRPr="00593E1A" w:rsidRDefault="00802544" w:rsidP="00593E1A">
      <w:pPr>
        <w:spacing w:before="120" w:after="60" w:line="276" w:lineRule="auto"/>
        <w:jc w:val="both"/>
        <w:rPr>
          <w:rFonts w:asciiTheme="minorHAnsi" w:hAnsiTheme="minorHAnsi"/>
          <w:szCs w:val="22"/>
        </w:rPr>
      </w:pPr>
      <w:r w:rsidRPr="00593E1A">
        <w:rPr>
          <w:rFonts w:asciiTheme="minorHAnsi" w:hAnsiTheme="minorHAnsi"/>
          <w:szCs w:val="22"/>
        </w:rPr>
        <w:t xml:space="preserve">The Board will require timely, accurate, independent and objective reporting on risks inherent in the residential mortgage business. Board reports will include, at a minimum, quarterly and year-to-date aggregate origination statistics by mortgage product, including segregation by material geographic exposure, lending value and </w:t>
      </w:r>
      <w:r w:rsidRPr="00593E1A">
        <w:rPr>
          <w:rFonts w:asciiTheme="minorHAnsi" w:hAnsiTheme="minorHAnsi"/>
          <w:szCs w:val="22"/>
        </w:rPr>
        <w:lastRenderedPageBreak/>
        <w:t>amortization buckets. Management will monitor and report on total mortgage concentration by product and material geographic location, or by location determined to represent incremental risk.</w:t>
      </w:r>
    </w:p>
    <w:p w14:paraId="3EDE94E9" w14:textId="77777777" w:rsidR="00802544" w:rsidRPr="00593E1A" w:rsidRDefault="00802544" w:rsidP="00593E1A">
      <w:pPr>
        <w:spacing w:before="120" w:after="60" w:line="276" w:lineRule="auto"/>
        <w:jc w:val="both"/>
        <w:rPr>
          <w:rFonts w:asciiTheme="minorHAnsi" w:hAnsiTheme="minorHAnsi"/>
          <w:szCs w:val="22"/>
        </w:rPr>
      </w:pPr>
      <w:r w:rsidRPr="00593E1A">
        <w:rPr>
          <w:rFonts w:asciiTheme="minorHAnsi" w:hAnsiTheme="minorHAnsi"/>
          <w:szCs w:val="22"/>
        </w:rPr>
        <w:t xml:space="preserve">Management will provide an annual declaration to the Board confirming the credit union’s residential mortgage underwriting and acquisition practices, risk management practices and procedures are materially in compliance with the </w:t>
      </w:r>
      <w:r w:rsidR="00433148" w:rsidRPr="00593E1A">
        <w:rPr>
          <w:rFonts w:asciiTheme="minorHAnsi" w:hAnsiTheme="minorHAnsi"/>
          <w:szCs w:val="22"/>
        </w:rPr>
        <w:t>Residential Mortgage Underwriting Policy</w:t>
      </w:r>
      <w:r w:rsidRPr="00593E1A">
        <w:rPr>
          <w:rFonts w:asciiTheme="minorHAnsi" w:hAnsiTheme="minorHAnsi"/>
          <w:szCs w:val="22"/>
        </w:rPr>
        <w:t>, with any material exceptions</w:t>
      </w:r>
      <w:r w:rsidR="003B73DC" w:rsidRPr="00593E1A">
        <w:rPr>
          <w:rFonts w:asciiTheme="minorHAnsi" w:hAnsiTheme="minorHAnsi"/>
          <w:szCs w:val="22"/>
        </w:rPr>
        <w:t xml:space="preserve"> and changes to the previous policy</w:t>
      </w:r>
      <w:r w:rsidRPr="00593E1A">
        <w:rPr>
          <w:rFonts w:asciiTheme="minorHAnsi" w:hAnsiTheme="minorHAnsi"/>
          <w:szCs w:val="22"/>
        </w:rPr>
        <w:t xml:space="preserve"> noted. </w:t>
      </w:r>
    </w:p>
    <w:p w14:paraId="7C038782" w14:textId="77777777" w:rsidR="00026276" w:rsidRPr="00392020" w:rsidRDefault="00026276" w:rsidP="00392020">
      <w:pPr>
        <w:pStyle w:val="Heading2"/>
        <w:spacing w:before="120" w:after="0" w:line="276" w:lineRule="auto"/>
        <w:rPr>
          <w:rFonts w:asciiTheme="minorHAnsi" w:hAnsiTheme="minorHAnsi"/>
          <w:sz w:val="24"/>
          <w:szCs w:val="24"/>
        </w:rPr>
      </w:pPr>
      <w:bookmarkStart w:id="38" w:name="_Toc321901233"/>
      <w:bookmarkStart w:id="39" w:name="_Toc507416337"/>
      <w:r w:rsidRPr="00392020">
        <w:rPr>
          <w:rFonts w:asciiTheme="minorHAnsi" w:hAnsiTheme="minorHAnsi"/>
          <w:sz w:val="24"/>
          <w:szCs w:val="24"/>
        </w:rPr>
        <w:t>Commercial</w:t>
      </w:r>
      <w:bookmarkEnd w:id="38"/>
      <w:bookmarkEnd w:id="39"/>
    </w:p>
    <w:p w14:paraId="2E727067" w14:textId="77777777" w:rsidR="00026276" w:rsidRPr="002152EB" w:rsidRDefault="00026276" w:rsidP="00392020">
      <w:pPr>
        <w:pStyle w:val="ListParagraph"/>
        <w:spacing w:after="120" w:line="276" w:lineRule="auto"/>
        <w:ind w:left="0"/>
        <w:contextualSpacing w:val="0"/>
        <w:jc w:val="both"/>
        <w:rPr>
          <w:rFonts w:asciiTheme="minorHAnsi" w:hAnsiTheme="minorHAnsi"/>
        </w:rPr>
      </w:pPr>
      <w:r w:rsidRPr="002152EB">
        <w:rPr>
          <w:rFonts w:asciiTheme="minorHAnsi" w:hAnsiTheme="minorHAnsi"/>
        </w:rPr>
        <w:t xml:space="preserve">Loans against commercial or multi-family real estate are generally not to exceed </w:t>
      </w:r>
      <w:r w:rsidR="007C473B" w:rsidRPr="002152EB">
        <w:rPr>
          <w:rFonts w:asciiTheme="minorHAnsi" w:hAnsiTheme="minorHAnsi"/>
          <w:color w:val="2E74B5"/>
        </w:rPr>
        <w:t>65</w:t>
      </w:r>
      <w:r w:rsidR="007C473B" w:rsidRPr="002152EB">
        <w:rPr>
          <w:rFonts w:asciiTheme="minorHAnsi" w:hAnsiTheme="minorHAnsi"/>
        </w:rPr>
        <w:t xml:space="preserve">% </w:t>
      </w:r>
      <w:r w:rsidR="00EE4186" w:rsidRPr="002152EB">
        <w:rPr>
          <w:rFonts w:asciiTheme="minorHAnsi" w:hAnsiTheme="minorHAnsi"/>
        </w:rPr>
        <w:t xml:space="preserve">of the lower of cost or appraised value, although exceptions to a maximum of </w:t>
      </w:r>
      <w:r w:rsidR="007C473B" w:rsidRPr="002152EB">
        <w:rPr>
          <w:rFonts w:asciiTheme="minorHAnsi" w:hAnsiTheme="minorHAnsi"/>
        </w:rPr>
        <w:t xml:space="preserve">75% </w:t>
      </w:r>
      <w:r w:rsidR="00EE4186" w:rsidRPr="002152EB">
        <w:rPr>
          <w:rFonts w:asciiTheme="minorHAnsi" w:hAnsiTheme="minorHAnsi"/>
        </w:rPr>
        <w:t xml:space="preserve">as </w:t>
      </w:r>
      <w:r w:rsidR="00207446" w:rsidRPr="002152EB">
        <w:rPr>
          <w:rFonts w:asciiTheme="minorHAnsi" w:hAnsiTheme="minorHAnsi"/>
        </w:rPr>
        <w:t xml:space="preserve">prescribed under </w:t>
      </w:r>
      <w:r w:rsidR="00EE4186" w:rsidRPr="002152EB">
        <w:rPr>
          <w:rFonts w:asciiTheme="minorHAnsi" w:hAnsiTheme="minorHAnsi"/>
        </w:rPr>
        <w:t xml:space="preserve">CUDGC </w:t>
      </w:r>
      <w:r w:rsidR="00433148" w:rsidRPr="002152EB">
        <w:rPr>
          <w:rFonts w:asciiTheme="minorHAnsi" w:hAnsiTheme="minorHAnsi"/>
        </w:rPr>
        <w:t>Lending Guidelines</w:t>
      </w:r>
      <w:r w:rsidR="00EE4186" w:rsidRPr="002152EB">
        <w:rPr>
          <w:rFonts w:asciiTheme="minorHAnsi" w:hAnsiTheme="minorHAnsi"/>
        </w:rPr>
        <w:t xml:space="preserve"> </w:t>
      </w:r>
      <w:r w:rsidRPr="002152EB">
        <w:rPr>
          <w:rFonts w:asciiTheme="minorHAnsi" w:hAnsiTheme="minorHAnsi"/>
        </w:rPr>
        <w:t>may be approved based on the merits and risk mitigation of the individual request. Exceptions are to be clearly outlined in the credit application</w:t>
      </w:r>
      <w:r w:rsidR="00207446" w:rsidRPr="002152EB">
        <w:rPr>
          <w:rFonts w:asciiTheme="minorHAnsi" w:hAnsiTheme="minorHAnsi"/>
        </w:rPr>
        <w:t>, outlining mitigating factors</w:t>
      </w:r>
      <w:r w:rsidR="00384DBF" w:rsidRPr="002152EB">
        <w:rPr>
          <w:rFonts w:asciiTheme="minorHAnsi" w:hAnsiTheme="minorHAnsi"/>
        </w:rPr>
        <w:t xml:space="preserve">, and where approved, </w:t>
      </w:r>
      <w:r w:rsidRPr="002152EB">
        <w:rPr>
          <w:rFonts w:asciiTheme="minorHAnsi" w:hAnsiTheme="minorHAnsi"/>
        </w:rPr>
        <w:t xml:space="preserve">included in </w:t>
      </w:r>
      <w:r w:rsidR="00F42C28" w:rsidRPr="002152EB">
        <w:rPr>
          <w:rFonts w:asciiTheme="minorHAnsi" w:hAnsiTheme="minorHAnsi"/>
        </w:rPr>
        <w:t xml:space="preserve">aggregated </w:t>
      </w:r>
      <w:r w:rsidRPr="002152EB">
        <w:rPr>
          <w:rFonts w:asciiTheme="minorHAnsi" w:hAnsiTheme="minorHAnsi"/>
        </w:rPr>
        <w:t>exception reporting to the Board</w:t>
      </w:r>
      <w:r w:rsidR="00384DBF" w:rsidRPr="002152EB">
        <w:rPr>
          <w:rFonts w:asciiTheme="minorHAnsi" w:hAnsiTheme="minorHAnsi"/>
        </w:rPr>
        <w:t xml:space="preserve"> (Risk) Committee</w:t>
      </w:r>
      <w:r w:rsidRPr="002152EB">
        <w:rPr>
          <w:rFonts w:asciiTheme="minorHAnsi" w:hAnsiTheme="minorHAnsi"/>
        </w:rPr>
        <w:t>.</w:t>
      </w:r>
      <w:r w:rsidR="00B33144" w:rsidRPr="002152EB">
        <w:rPr>
          <w:rFonts w:asciiTheme="minorHAnsi" w:hAnsiTheme="minorHAnsi"/>
        </w:rPr>
        <w:t xml:space="preserve"> Commercial mortgages exceeding 75% of the lower of cost or appraised value require CUDGC approval.</w:t>
      </w:r>
    </w:p>
    <w:p w14:paraId="774EE1BA" w14:textId="77777777" w:rsidR="00A10FB3" w:rsidRPr="002152EB" w:rsidRDefault="00026276" w:rsidP="00392020">
      <w:pPr>
        <w:pStyle w:val="ListParagraph"/>
        <w:spacing w:after="120" w:line="276" w:lineRule="auto"/>
        <w:ind w:left="0"/>
        <w:contextualSpacing w:val="0"/>
        <w:jc w:val="both"/>
        <w:rPr>
          <w:rFonts w:asciiTheme="minorHAnsi" w:hAnsiTheme="minorHAnsi"/>
        </w:rPr>
      </w:pPr>
      <w:r w:rsidRPr="002152EB">
        <w:rPr>
          <w:rFonts w:asciiTheme="minorHAnsi" w:hAnsiTheme="minorHAnsi"/>
        </w:rPr>
        <w:t xml:space="preserve">Loans against hospitality real estate are </w:t>
      </w:r>
      <w:r w:rsidR="001E1EB5" w:rsidRPr="002152EB">
        <w:rPr>
          <w:rFonts w:asciiTheme="minorHAnsi" w:hAnsiTheme="minorHAnsi"/>
        </w:rPr>
        <w:t xml:space="preserve">generally </w:t>
      </w:r>
      <w:r w:rsidRPr="002152EB">
        <w:rPr>
          <w:rFonts w:asciiTheme="minorHAnsi" w:hAnsiTheme="minorHAnsi"/>
        </w:rPr>
        <w:t xml:space="preserve">not to exceed </w:t>
      </w:r>
      <w:r w:rsidR="00384DBF" w:rsidRPr="002152EB">
        <w:rPr>
          <w:rFonts w:asciiTheme="minorHAnsi" w:hAnsiTheme="minorHAnsi"/>
        </w:rPr>
        <w:t xml:space="preserve">the </w:t>
      </w:r>
      <w:r w:rsidR="00EE4186" w:rsidRPr="002152EB">
        <w:rPr>
          <w:rFonts w:asciiTheme="minorHAnsi" w:hAnsiTheme="minorHAnsi"/>
        </w:rPr>
        <w:t>standard</w:t>
      </w:r>
      <w:r w:rsidR="00384DBF" w:rsidRPr="002152EB">
        <w:rPr>
          <w:rFonts w:asciiTheme="minorHAnsi" w:hAnsiTheme="minorHAnsi"/>
        </w:rPr>
        <w:t xml:space="preserve"> lending value</w:t>
      </w:r>
      <w:r w:rsidR="00EE4186" w:rsidRPr="002152EB">
        <w:rPr>
          <w:rFonts w:asciiTheme="minorHAnsi" w:hAnsiTheme="minorHAnsi"/>
        </w:rPr>
        <w:t xml:space="preserve">s prescribed </w:t>
      </w:r>
      <w:r w:rsidR="00384DBF" w:rsidRPr="002152EB">
        <w:rPr>
          <w:rFonts w:asciiTheme="minorHAnsi" w:hAnsiTheme="minorHAnsi"/>
        </w:rPr>
        <w:t xml:space="preserve">in the following table, </w:t>
      </w:r>
      <w:r w:rsidRPr="002152EB">
        <w:rPr>
          <w:rFonts w:asciiTheme="minorHAnsi" w:hAnsiTheme="minorHAnsi"/>
        </w:rPr>
        <w:t xml:space="preserve">although </w:t>
      </w:r>
      <w:r w:rsidR="00384DBF" w:rsidRPr="002152EB">
        <w:rPr>
          <w:rFonts w:asciiTheme="minorHAnsi" w:hAnsiTheme="minorHAnsi"/>
        </w:rPr>
        <w:t xml:space="preserve">the exception lending value </w:t>
      </w:r>
      <w:r w:rsidRPr="002152EB">
        <w:rPr>
          <w:rFonts w:asciiTheme="minorHAnsi" w:hAnsiTheme="minorHAnsi"/>
        </w:rPr>
        <w:t xml:space="preserve">may be </w:t>
      </w:r>
      <w:r w:rsidR="00384DBF" w:rsidRPr="002152EB">
        <w:rPr>
          <w:rFonts w:asciiTheme="minorHAnsi" w:hAnsiTheme="minorHAnsi"/>
        </w:rPr>
        <w:t>approved</w:t>
      </w:r>
      <w:r w:rsidR="001E1EB5" w:rsidRPr="002152EB">
        <w:rPr>
          <w:rFonts w:asciiTheme="minorHAnsi" w:hAnsiTheme="minorHAnsi"/>
        </w:rPr>
        <w:t xml:space="preserve">, </w:t>
      </w:r>
      <w:r w:rsidRPr="002152EB">
        <w:rPr>
          <w:rFonts w:asciiTheme="minorHAnsi" w:hAnsiTheme="minorHAnsi"/>
        </w:rPr>
        <w:t>based on the merits and risk mitigation of the individual request. Exceptions are to be clearly outlined in the credit application</w:t>
      </w:r>
      <w:r w:rsidR="00384DBF" w:rsidRPr="002152EB">
        <w:rPr>
          <w:rFonts w:asciiTheme="minorHAnsi" w:hAnsiTheme="minorHAnsi"/>
        </w:rPr>
        <w:t xml:space="preserve">, </w:t>
      </w:r>
      <w:r w:rsidRPr="002152EB">
        <w:rPr>
          <w:rFonts w:asciiTheme="minorHAnsi" w:hAnsiTheme="minorHAnsi"/>
        </w:rPr>
        <w:t>and</w:t>
      </w:r>
      <w:r w:rsidR="00384DBF" w:rsidRPr="002152EB">
        <w:rPr>
          <w:rFonts w:asciiTheme="minorHAnsi" w:hAnsiTheme="minorHAnsi"/>
        </w:rPr>
        <w:t xml:space="preserve"> if approved, </w:t>
      </w:r>
      <w:r w:rsidRPr="002152EB">
        <w:rPr>
          <w:rFonts w:asciiTheme="minorHAnsi" w:hAnsiTheme="minorHAnsi"/>
        </w:rPr>
        <w:t>included in risk exception reporting to the Board.</w:t>
      </w:r>
      <w:r w:rsidR="00384DBF" w:rsidRPr="002152EB">
        <w:rPr>
          <w:rFonts w:asciiTheme="minorHAnsi" w:hAnsiTheme="minorHAnsi"/>
        </w:rPr>
        <w:t xml:space="preserve"> The exception lending value is further subject to maximum lending values and terms </w:t>
      </w:r>
      <w:r w:rsidR="00F6623A" w:rsidRPr="002152EB">
        <w:rPr>
          <w:rFonts w:asciiTheme="minorHAnsi" w:hAnsiTheme="minorHAnsi"/>
        </w:rPr>
        <w:t xml:space="preserve">approved by </w:t>
      </w:r>
      <w:r w:rsidR="00384DBF" w:rsidRPr="002152EB">
        <w:rPr>
          <w:rFonts w:asciiTheme="minorHAnsi" w:hAnsiTheme="minorHAnsi"/>
        </w:rPr>
        <w:t>CUDGC</w:t>
      </w:r>
      <w:r w:rsidR="00F6623A" w:rsidRPr="002152EB">
        <w:rPr>
          <w:rFonts w:asciiTheme="minorHAnsi" w:hAnsiTheme="minorHAnsi"/>
        </w:rPr>
        <w:t>, including the Corporation’s</w:t>
      </w:r>
      <w:r w:rsidR="00384DBF" w:rsidRPr="002152EB">
        <w:rPr>
          <w:rFonts w:asciiTheme="minorHAnsi" w:hAnsiTheme="minorHAnsi"/>
        </w:rPr>
        <w:t xml:space="preserve"> Hospitality Lending Guidelines. </w:t>
      </w:r>
      <w:r w:rsidR="001E5026" w:rsidRPr="002152EB">
        <w:rPr>
          <w:rFonts w:asciiTheme="minorHAnsi" w:hAnsiTheme="minorHAnsi"/>
        </w:rPr>
        <w:t>(</w:t>
      </w:r>
      <w:r w:rsidR="00CD2991" w:rsidRPr="002152EB">
        <w:rPr>
          <w:rFonts w:asciiTheme="minorHAnsi" w:hAnsiTheme="minorHAnsi"/>
        </w:rPr>
        <w:t xml:space="preserve">Note: The following </w:t>
      </w:r>
      <w:r w:rsidR="00C710C0" w:rsidRPr="002152EB">
        <w:rPr>
          <w:rFonts w:asciiTheme="minorHAnsi" w:hAnsiTheme="minorHAnsi"/>
        </w:rPr>
        <w:t xml:space="preserve">type of </w:t>
      </w:r>
      <w:r w:rsidR="00CD2991" w:rsidRPr="002152EB">
        <w:rPr>
          <w:rFonts w:asciiTheme="minorHAnsi" w:hAnsiTheme="minorHAnsi"/>
        </w:rPr>
        <w:t xml:space="preserve">table could </w:t>
      </w:r>
      <w:r w:rsidR="00C710C0" w:rsidRPr="002152EB">
        <w:rPr>
          <w:rFonts w:asciiTheme="minorHAnsi" w:hAnsiTheme="minorHAnsi"/>
        </w:rPr>
        <w:t>also b</w:t>
      </w:r>
      <w:r w:rsidR="00CD2991" w:rsidRPr="002152EB">
        <w:rPr>
          <w:rFonts w:asciiTheme="minorHAnsi" w:hAnsiTheme="minorHAnsi"/>
        </w:rPr>
        <w:t>e utilized to establish standard and exception lending values for commercial real estate, addressed in the previous paragraph)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102"/>
        <w:gridCol w:w="3288"/>
      </w:tblGrid>
      <w:tr w:rsidR="001E1EB5" w:rsidRPr="002152EB" w14:paraId="260F31B8" w14:textId="77777777" w:rsidTr="00C34CC7">
        <w:trPr>
          <w:trHeight w:hRule="exact" w:val="283"/>
          <w:jc w:val="center"/>
        </w:trPr>
        <w:tc>
          <w:tcPr>
            <w:tcW w:w="2269" w:type="dxa"/>
            <w:vAlign w:val="center"/>
          </w:tcPr>
          <w:p w14:paraId="28369342" w14:textId="77777777" w:rsidR="001E1EB5" w:rsidRPr="002152EB" w:rsidRDefault="001E1EB5" w:rsidP="00392020">
            <w:pPr>
              <w:pStyle w:val="ListParagraph"/>
              <w:spacing w:after="120" w:line="276" w:lineRule="auto"/>
              <w:ind w:left="0"/>
              <w:rPr>
                <w:rFonts w:asciiTheme="minorHAnsi" w:hAnsiTheme="minorHAnsi"/>
              </w:rPr>
            </w:pPr>
            <w:r w:rsidRPr="002152EB">
              <w:rPr>
                <w:rFonts w:asciiTheme="minorHAnsi" w:hAnsiTheme="minorHAnsi"/>
              </w:rPr>
              <w:t>Hotel</w:t>
            </w:r>
            <w:r w:rsidR="0072361F" w:rsidRPr="002152EB">
              <w:rPr>
                <w:rFonts w:asciiTheme="minorHAnsi" w:hAnsiTheme="minorHAnsi"/>
              </w:rPr>
              <w:t>s</w:t>
            </w:r>
          </w:p>
        </w:tc>
        <w:tc>
          <w:tcPr>
            <w:tcW w:w="3102" w:type="dxa"/>
            <w:vAlign w:val="center"/>
          </w:tcPr>
          <w:p w14:paraId="50BC1A06" w14:textId="77777777" w:rsidR="001E1EB5" w:rsidRPr="002152EB" w:rsidRDefault="001E1EB5" w:rsidP="00392020">
            <w:pPr>
              <w:pStyle w:val="ListParagraph"/>
              <w:spacing w:after="120" w:line="276" w:lineRule="auto"/>
              <w:ind w:left="0"/>
              <w:jc w:val="center"/>
              <w:rPr>
                <w:rFonts w:asciiTheme="minorHAnsi" w:hAnsiTheme="minorHAnsi"/>
              </w:rPr>
            </w:pPr>
            <w:r w:rsidRPr="002152EB">
              <w:rPr>
                <w:rFonts w:asciiTheme="minorHAnsi" w:hAnsiTheme="minorHAnsi"/>
              </w:rPr>
              <w:t>Standard Lending</w:t>
            </w:r>
            <w:r w:rsidR="0072361F" w:rsidRPr="002152EB">
              <w:rPr>
                <w:rFonts w:asciiTheme="minorHAnsi" w:hAnsiTheme="minorHAnsi"/>
              </w:rPr>
              <w:t xml:space="preserve"> Value</w:t>
            </w:r>
            <w:r w:rsidRPr="002152EB">
              <w:rPr>
                <w:rFonts w:asciiTheme="minorHAnsi" w:hAnsiTheme="minorHAnsi"/>
              </w:rPr>
              <w:t xml:space="preserve"> Value*</w:t>
            </w:r>
          </w:p>
        </w:tc>
        <w:tc>
          <w:tcPr>
            <w:tcW w:w="3288" w:type="dxa"/>
            <w:vAlign w:val="center"/>
          </w:tcPr>
          <w:p w14:paraId="5B3F4A38" w14:textId="77777777" w:rsidR="001E1EB5" w:rsidRPr="002152EB" w:rsidRDefault="001E1EB5" w:rsidP="00392020">
            <w:pPr>
              <w:pStyle w:val="ListParagraph"/>
              <w:spacing w:after="120" w:line="276" w:lineRule="auto"/>
              <w:ind w:left="0"/>
              <w:jc w:val="center"/>
              <w:rPr>
                <w:rFonts w:asciiTheme="minorHAnsi" w:hAnsiTheme="minorHAnsi"/>
              </w:rPr>
            </w:pPr>
            <w:r w:rsidRPr="002152EB">
              <w:rPr>
                <w:rFonts w:asciiTheme="minorHAnsi" w:hAnsiTheme="minorHAnsi"/>
              </w:rPr>
              <w:t xml:space="preserve">Exception Lending Value </w:t>
            </w:r>
          </w:p>
        </w:tc>
      </w:tr>
      <w:tr w:rsidR="001E1EB5" w:rsidRPr="002152EB" w14:paraId="5D055A6A" w14:textId="77777777" w:rsidTr="00C34CC7">
        <w:trPr>
          <w:trHeight w:hRule="exact" w:val="283"/>
          <w:jc w:val="center"/>
        </w:trPr>
        <w:tc>
          <w:tcPr>
            <w:tcW w:w="2269" w:type="dxa"/>
            <w:vAlign w:val="center"/>
          </w:tcPr>
          <w:p w14:paraId="2FF31E7C" w14:textId="77777777" w:rsidR="001E1EB5" w:rsidRPr="002152EB" w:rsidRDefault="001E1EB5" w:rsidP="00392020">
            <w:pPr>
              <w:pStyle w:val="ListParagraph"/>
              <w:spacing w:after="120" w:line="276" w:lineRule="auto"/>
              <w:ind w:left="0"/>
              <w:rPr>
                <w:rFonts w:asciiTheme="minorHAnsi" w:hAnsiTheme="minorHAnsi"/>
              </w:rPr>
            </w:pPr>
            <w:r w:rsidRPr="002152EB">
              <w:rPr>
                <w:rFonts w:asciiTheme="minorHAnsi" w:hAnsiTheme="minorHAnsi"/>
              </w:rPr>
              <w:t>Prime Market</w:t>
            </w:r>
          </w:p>
        </w:tc>
        <w:tc>
          <w:tcPr>
            <w:tcW w:w="3102" w:type="dxa"/>
            <w:vAlign w:val="center"/>
          </w:tcPr>
          <w:p w14:paraId="1CE54F32" w14:textId="77777777" w:rsidR="001E1EB5" w:rsidRPr="002152EB" w:rsidRDefault="000D0381" w:rsidP="00392020">
            <w:pPr>
              <w:pStyle w:val="ListParagraph"/>
              <w:spacing w:after="120" w:line="276" w:lineRule="auto"/>
              <w:ind w:left="0"/>
              <w:jc w:val="center"/>
              <w:rPr>
                <w:rFonts w:asciiTheme="minorHAnsi" w:hAnsiTheme="minorHAnsi"/>
              </w:rPr>
            </w:pPr>
            <w:r w:rsidRPr="002152EB">
              <w:rPr>
                <w:rFonts w:asciiTheme="minorHAnsi" w:hAnsiTheme="minorHAnsi"/>
              </w:rPr>
              <w:t>65</w:t>
            </w:r>
            <w:r w:rsidR="00F23534" w:rsidRPr="002152EB">
              <w:rPr>
                <w:rFonts w:asciiTheme="minorHAnsi" w:hAnsiTheme="minorHAnsi"/>
              </w:rPr>
              <w:t>%</w:t>
            </w:r>
          </w:p>
        </w:tc>
        <w:tc>
          <w:tcPr>
            <w:tcW w:w="3288" w:type="dxa"/>
            <w:vAlign w:val="center"/>
          </w:tcPr>
          <w:p w14:paraId="241BE3F8" w14:textId="77777777" w:rsidR="001E1EB5" w:rsidRPr="002152EB" w:rsidRDefault="00F23534" w:rsidP="00392020">
            <w:pPr>
              <w:pStyle w:val="ListParagraph"/>
              <w:spacing w:after="120" w:line="276" w:lineRule="auto"/>
              <w:ind w:left="0"/>
              <w:jc w:val="center"/>
              <w:rPr>
                <w:rFonts w:asciiTheme="minorHAnsi" w:hAnsiTheme="minorHAnsi"/>
              </w:rPr>
            </w:pPr>
            <w:r w:rsidRPr="002152EB">
              <w:rPr>
                <w:rFonts w:asciiTheme="minorHAnsi" w:hAnsiTheme="minorHAnsi"/>
              </w:rPr>
              <w:t>70</w:t>
            </w:r>
            <w:r w:rsidR="001E1EB5" w:rsidRPr="002152EB">
              <w:rPr>
                <w:rFonts w:asciiTheme="minorHAnsi" w:hAnsiTheme="minorHAnsi"/>
              </w:rPr>
              <w:t>%</w:t>
            </w:r>
          </w:p>
        </w:tc>
      </w:tr>
      <w:tr w:rsidR="001E1EB5" w:rsidRPr="002152EB" w14:paraId="46F6B6AD" w14:textId="77777777" w:rsidTr="00C34CC7">
        <w:trPr>
          <w:trHeight w:hRule="exact" w:val="283"/>
          <w:jc w:val="center"/>
        </w:trPr>
        <w:tc>
          <w:tcPr>
            <w:tcW w:w="2269" w:type="dxa"/>
            <w:vAlign w:val="center"/>
          </w:tcPr>
          <w:p w14:paraId="316A6CA0" w14:textId="77777777" w:rsidR="001E1EB5" w:rsidRPr="002152EB" w:rsidRDefault="001E1EB5" w:rsidP="00392020">
            <w:pPr>
              <w:pStyle w:val="ListParagraph"/>
              <w:spacing w:after="120" w:line="276" w:lineRule="auto"/>
              <w:ind w:left="0"/>
              <w:rPr>
                <w:rFonts w:asciiTheme="minorHAnsi" w:hAnsiTheme="minorHAnsi"/>
              </w:rPr>
            </w:pPr>
            <w:r w:rsidRPr="002152EB">
              <w:rPr>
                <w:rFonts w:asciiTheme="minorHAnsi" w:hAnsiTheme="minorHAnsi"/>
              </w:rPr>
              <w:t>Secondary Market</w:t>
            </w:r>
          </w:p>
        </w:tc>
        <w:tc>
          <w:tcPr>
            <w:tcW w:w="3102" w:type="dxa"/>
            <w:vAlign w:val="center"/>
          </w:tcPr>
          <w:p w14:paraId="5AD600FA" w14:textId="77777777" w:rsidR="001E1EB5" w:rsidRPr="002152EB" w:rsidRDefault="00F23534" w:rsidP="00392020">
            <w:pPr>
              <w:pStyle w:val="ListParagraph"/>
              <w:spacing w:after="120" w:line="276" w:lineRule="auto"/>
              <w:ind w:left="0"/>
              <w:jc w:val="center"/>
              <w:rPr>
                <w:rFonts w:asciiTheme="minorHAnsi" w:hAnsiTheme="minorHAnsi"/>
              </w:rPr>
            </w:pPr>
            <w:r w:rsidRPr="002152EB">
              <w:rPr>
                <w:rFonts w:asciiTheme="minorHAnsi" w:hAnsiTheme="minorHAnsi"/>
              </w:rPr>
              <w:t>60%</w:t>
            </w:r>
          </w:p>
        </w:tc>
        <w:tc>
          <w:tcPr>
            <w:tcW w:w="3288" w:type="dxa"/>
            <w:vAlign w:val="center"/>
          </w:tcPr>
          <w:p w14:paraId="5EF06244" w14:textId="77777777" w:rsidR="001E1EB5" w:rsidRPr="002152EB" w:rsidRDefault="00F23534" w:rsidP="00392020">
            <w:pPr>
              <w:pStyle w:val="ListParagraph"/>
              <w:spacing w:after="120" w:line="276" w:lineRule="auto"/>
              <w:ind w:left="0"/>
              <w:jc w:val="center"/>
              <w:rPr>
                <w:rFonts w:asciiTheme="minorHAnsi" w:hAnsiTheme="minorHAnsi"/>
              </w:rPr>
            </w:pPr>
            <w:r w:rsidRPr="002152EB">
              <w:rPr>
                <w:rFonts w:asciiTheme="minorHAnsi" w:hAnsiTheme="minorHAnsi"/>
              </w:rPr>
              <w:t>65</w:t>
            </w:r>
            <w:r w:rsidR="001E1EB5" w:rsidRPr="002152EB">
              <w:rPr>
                <w:rFonts w:asciiTheme="minorHAnsi" w:hAnsiTheme="minorHAnsi"/>
              </w:rPr>
              <w:t>%</w:t>
            </w:r>
          </w:p>
        </w:tc>
      </w:tr>
      <w:tr w:rsidR="001E1EB5" w:rsidRPr="002152EB" w14:paraId="6ED03F7A" w14:textId="77777777" w:rsidTr="00C34CC7">
        <w:trPr>
          <w:trHeight w:hRule="exact" w:val="283"/>
          <w:jc w:val="center"/>
        </w:trPr>
        <w:tc>
          <w:tcPr>
            <w:tcW w:w="2269" w:type="dxa"/>
            <w:vAlign w:val="center"/>
          </w:tcPr>
          <w:p w14:paraId="01CADAE0" w14:textId="77777777" w:rsidR="001E1EB5" w:rsidRPr="002152EB" w:rsidRDefault="001E1EB5" w:rsidP="00392020">
            <w:pPr>
              <w:pStyle w:val="ListParagraph"/>
              <w:spacing w:after="120" w:line="276" w:lineRule="auto"/>
              <w:ind w:left="0"/>
              <w:rPr>
                <w:rFonts w:asciiTheme="minorHAnsi" w:hAnsiTheme="minorHAnsi"/>
              </w:rPr>
            </w:pPr>
            <w:r w:rsidRPr="002152EB">
              <w:rPr>
                <w:rFonts w:asciiTheme="minorHAnsi" w:hAnsiTheme="minorHAnsi"/>
              </w:rPr>
              <w:t>Tertiary Market</w:t>
            </w:r>
          </w:p>
        </w:tc>
        <w:tc>
          <w:tcPr>
            <w:tcW w:w="3102" w:type="dxa"/>
            <w:vAlign w:val="center"/>
          </w:tcPr>
          <w:p w14:paraId="5E3B768D" w14:textId="3854FC03" w:rsidR="001E1EB5" w:rsidRPr="002152EB" w:rsidRDefault="000D0381" w:rsidP="00AB4E48">
            <w:pPr>
              <w:pStyle w:val="ListParagraph"/>
              <w:spacing w:after="120" w:line="276" w:lineRule="auto"/>
              <w:ind w:left="0"/>
              <w:jc w:val="center"/>
              <w:rPr>
                <w:rFonts w:asciiTheme="minorHAnsi" w:hAnsiTheme="minorHAnsi"/>
              </w:rPr>
            </w:pPr>
            <w:r w:rsidRPr="002152EB">
              <w:rPr>
                <w:rFonts w:asciiTheme="minorHAnsi" w:hAnsiTheme="minorHAnsi"/>
              </w:rPr>
              <w:t>5</w:t>
            </w:r>
            <w:r w:rsidR="00AB4E48">
              <w:rPr>
                <w:rFonts w:asciiTheme="minorHAnsi" w:hAnsiTheme="minorHAnsi"/>
              </w:rPr>
              <w:t>5</w:t>
            </w:r>
            <w:r w:rsidR="00F23534" w:rsidRPr="002152EB">
              <w:rPr>
                <w:rFonts w:asciiTheme="minorHAnsi" w:hAnsiTheme="minorHAnsi"/>
              </w:rPr>
              <w:t>%</w:t>
            </w:r>
          </w:p>
        </w:tc>
        <w:tc>
          <w:tcPr>
            <w:tcW w:w="3288" w:type="dxa"/>
            <w:vAlign w:val="center"/>
          </w:tcPr>
          <w:p w14:paraId="2A3FDB63" w14:textId="77777777" w:rsidR="001E1EB5" w:rsidRPr="002152EB" w:rsidRDefault="00F23534" w:rsidP="00392020">
            <w:pPr>
              <w:pStyle w:val="ListParagraph"/>
              <w:spacing w:after="120" w:line="276" w:lineRule="auto"/>
              <w:ind w:left="0"/>
              <w:jc w:val="center"/>
              <w:rPr>
                <w:rFonts w:asciiTheme="minorHAnsi" w:hAnsiTheme="minorHAnsi"/>
              </w:rPr>
            </w:pPr>
            <w:r w:rsidRPr="002152EB">
              <w:rPr>
                <w:rFonts w:asciiTheme="minorHAnsi" w:hAnsiTheme="minorHAnsi"/>
              </w:rPr>
              <w:t>60</w:t>
            </w:r>
            <w:r w:rsidR="001E1EB5" w:rsidRPr="002152EB">
              <w:rPr>
                <w:rFonts w:asciiTheme="minorHAnsi" w:hAnsiTheme="minorHAnsi"/>
              </w:rPr>
              <w:t>%</w:t>
            </w:r>
          </w:p>
        </w:tc>
      </w:tr>
    </w:tbl>
    <w:p w14:paraId="46201558" w14:textId="77777777" w:rsidR="00A15478" w:rsidRPr="002152EB" w:rsidRDefault="00A15478" w:rsidP="00392020">
      <w:pPr>
        <w:pStyle w:val="Heading2"/>
        <w:spacing w:line="276" w:lineRule="auto"/>
        <w:rPr>
          <w:rFonts w:asciiTheme="minorHAnsi" w:hAnsiTheme="minorHAnsi"/>
          <w:sz w:val="24"/>
          <w:szCs w:val="24"/>
        </w:rPr>
      </w:pPr>
      <w:bookmarkStart w:id="40" w:name="_Toc507416338"/>
      <w:bookmarkStart w:id="41" w:name="_Toc321901234"/>
      <w:r w:rsidRPr="002152EB">
        <w:rPr>
          <w:rFonts w:asciiTheme="minorHAnsi" w:hAnsiTheme="minorHAnsi"/>
          <w:sz w:val="24"/>
          <w:szCs w:val="24"/>
        </w:rPr>
        <w:t xml:space="preserve">Total </w:t>
      </w:r>
      <w:r w:rsidR="00D935A8" w:rsidRPr="002152EB">
        <w:rPr>
          <w:rFonts w:asciiTheme="minorHAnsi" w:hAnsiTheme="minorHAnsi"/>
          <w:sz w:val="24"/>
          <w:szCs w:val="24"/>
        </w:rPr>
        <w:t>Commercial Real</w:t>
      </w:r>
      <w:r w:rsidRPr="002152EB">
        <w:rPr>
          <w:rFonts w:asciiTheme="minorHAnsi" w:hAnsiTheme="minorHAnsi"/>
          <w:sz w:val="24"/>
          <w:szCs w:val="24"/>
        </w:rPr>
        <w:t xml:space="preserve"> Estate</w:t>
      </w:r>
      <w:bookmarkEnd w:id="40"/>
    </w:p>
    <w:p w14:paraId="57DFABB5" w14:textId="77777777" w:rsidR="00A15478" w:rsidRPr="002152EB" w:rsidRDefault="00A15478" w:rsidP="002152EB">
      <w:pPr>
        <w:spacing w:before="120" w:after="60" w:line="276" w:lineRule="auto"/>
        <w:rPr>
          <w:rFonts w:asciiTheme="minorHAnsi" w:hAnsiTheme="minorHAnsi"/>
          <w:szCs w:val="22"/>
        </w:rPr>
      </w:pPr>
      <w:r w:rsidRPr="002152EB">
        <w:rPr>
          <w:rFonts w:asciiTheme="minorHAnsi" w:hAnsiTheme="minorHAnsi"/>
          <w:szCs w:val="22"/>
        </w:rPr>
        <w:t xml:space="preserve">Aggregate loans to Commercial Mortgages, </w:t>
      </w:r>
      <w:r w:rsidR="00D935A8" w:rsidRPr="002152EB">
        <w:rPr>
          <w:rFonts w:asciiTheme="minorHAnsi" w:hAnsiTheme="minorHAnsi"/>
          <w:szCs w:val="22"/>
        </w:rPr>
        <w:t>Construction</w:t>
      </w:r>
      <w:r w:rsidRPr="002152EB">
        <w:rPr>
          <w:rFonts w:asciiTheme="minorHAnsi" w:hAnsiTheme="minorHAnsi"/>
          <w:szCs w:val="22"/>
        </w:rPr>
        <w:t xml:space="preserve"> and Hospitality will not exceed 150% o</w:t>
      </w:r>
      <w:r w:rsidR="00F23534" w:rsidRPr="002152EB">
        <w:rPr>
          <w:rFonts w:asciiTheme="minorHAnsi" w:hAnsiTheme="minorHAnsi"/>
          <w:szCs w:val="22"/>
        </w:rPr>
        <w:t>f available capital, including:</w:t>
      </w:r>
    </w:p>
    <w:p w14:paraId="3ACB1752" w14:textId="77777777" w:rsidR="00A15478" w:rsidRPr="002152EB" w:rsidRDefault="00A15478" w:rsidP="002152EB">
      <w:pPr>
        <w:pStyle w:val="ListParagraph"/>
        <w:numPr>
          <w:ilvl w:val="0"/>
          <w:numId w:val="2"/>
        </w:numPr>
        <w:spacing w:before="120" w:after="60" w:line="276" w:lineRule="auto"/>
        <w:ind w:left="360" w:hanging="270"/>
        <w:jc w:val="both"/>
        <w:rPr>
          <w:rFonts w:asciiTheme="minorHAnsi" w:hAnsiTheme="minorHAnsi"/>
        </w:rPr>
      </w:pPr>
      <w:r w:rsidRPr="002152EB">
        <w:rPr>
          <w:rFonts w:asciiTheme="minorHAnsi" w:hAnsiTheme="minorHAnsi"/>
        </w:rPr>
        <w:t>Commercial Mortgages</w:t>
      </w:r>
      <w:r w:rsidRPr="002152EB">
        <w:rPr>
          <w:rFonts w:asciiTheme="minorHAnsi" w:hAnsiTheme="minorHAnsi"/>
        </w:rPr>
        <w:tab/>
        <w:t xml:space="preserve">125% Available Capital </w:t>
      </w:r>
    </w:p>
    <w:p w14:paraId="1C4A7317" w14:textId="77777777" w:rsidR="00A15478" w:rsidRPr="002152EB" w:rsidRDefault="00A15478" w:rsidP="002152EB">
      <w:pPr>
        <w:pStyle w:val="ListParagraph"/>
        <w:numPr>
          <w:ilvl w:val="0"/>
          <w:numId w:val="2"/>
        </w:numPr>
        <w:spacing w:before="120" w:after="60" w:line="276" w:lineRule="auto"/>
        <w:ind w:left="360" w:hanging="270"/>
        <w:jc w:val="both"/>
        <w:rPr>
          <w:rFonts w:asciiTheme="minorHAnsi" w:hAnsiTheme="minorHAnsi"/>
        </w:rPr>
      </w:pPr>
      <w:r w:rsidRPr="002152EB">
        <w:rPr>
          <w:rFonts w:asciiTheme="minorHAnsi" w:hAnsiTheme="minorHAnsi"/>
        </w:rPr>
        <w:t>Construction</w:t>
      </w:r>
      <w:r w:rsidRPr="002152EB">
        <w:rPr>
          <w:rFonts w:asciiTheme="minorHAnsi" w:hAnsiTheme="minorHAnsi"/>
        </w:rPr>
        <w:tab/>
      </w:r>
      <w:proofErr w:type="gramStart"/>
      <w:r w:rsidRPr="002152EB">
        <w:rPr>
          <w:rFonts w:asciiTheme="minorHAnsi" w:hAnsiTheme="minorHAnsi"/>
        </w:rPr>
        <w:tab/>
      </w:r>
      <w:r w:rsidR="00981626" w:rsidRPr="002152EB">
        <w:rPr>
          <w:rFonts w:asciiTheme="minorHAnsi" w:hAnsiTheme="minorHAnsi"/>
        </w:rPr>
        <w:t xml:space="preserve">  </w:t>
      </w:r>
      <w:r w:rsidRPr="002152EB">
        <w:rPr>
          <w:rFonts w:asciiTheme="minorHAnsi" w:hAnsiTheme="minorHAnsi"/>
        </w:rPr>
        <w:t>25</w:t>
      </w:r>
      <w:proofErr w:type="gramEnd"/>
      <w:r w:rsidRPr="002152EB">
        <w:rPr>
          <w:rFonts w:asciiTheme="minorHAnsi" w:hAnsiTheme="minorHAnsi"/>
        </w:rPr>
        <w:t>% Available Capital</w:t>
      </w:r>
    </w:p>
    <w:p w14:paraId="6F2E0C13" w14:textId="77777777" w:rsidR="00A15478" w:rsidRPr="002152EB" w:rsidRDefault="00A15478" w:rsidP="002152EB">
      <w:pPr>
        <w:pStyle w:val="ListParagraph"/>
        <w:numPr>
          <w:ilvl w:val="0"/>
          <w:numId w:val="2"/>
        </w:numPr>
        <w:spacing w:before="120" w:after="60" w:line="276" w:lineRule="auto"/>
        <w:ind w:left="360" w:hanging="270"/>
        <w:jc w:val="both"/>
        <w:rPr>
          <w:rFonts w:asciiTheme="minorHAnsi" w:hAnsiTheme="minorHAnsi"/>
        </w:rPr>
      </w:pPr>
      <w:r w:rsidRPr="002152EB">
        <w:rPr>
          <w:rFonts w:asciiTheme="minorHAnsi" w:hAnsiTheme="minorHAnsi"/>
        </w:rPr>
        <w:t>Hospitality</w:t>
      </w:r>
      <w:r w:rsidRPr="002152EB">
        <w:rPr>
          <w:rFonts w:asciiTheme="minorHAnsi" w:hAnsiTheme="minorHAnsi"/>
        </w:rPr>
        <w:tab/>
      </w:r>
      <w:r w:rsidRPr="002152EB">
        <w:rPr>
          <w:rFonts w:asciiTheme="minorHAnsi" w:hAnsiTheme="minorHAnsi"/>
        </w:rPr>
        <w:tab/>
      </w:r>
      <w:proofErr w:type="gramStart"/>
      <w:r w:rsidRPr="002152EB">
        <w:rPr>
          <w:rFonts w:asciiTheme="minorHAnsi" w:hAnsiTheme="minorHAnsi"/>
        </w:rPr>
        <w:tab/>
      </w:r>
      <w:r w:rsidR="00981626" w:rsidRPr="002152EB">
        <w:rPr>
          <w:rFonts w:asciiTheme="minorHAnsi" w:hAnsiTheme="minorHAnsi"/>
        </w:rPr>
        <w:t xml:space="preserve">  </w:t>
      </w:r>
      <w:r w:rsidRPr="002152EB">
        <w:rPr>
          <w:rFonts w:asciiTheme="minorHAnsi" w:hAnsiTheme="minorHAnsi"/>
        </w:rPr>
        <w:t>50</w:t>
      </w:r>
      <w:proofErr w:type="gramEnd"/>
      <w:r w:rsidRPr="002152EB">
        <w:rPr>
          <w:rFonts w:asciiTheme="minorHAnsi" w:hAnsiTheme="minorHAnsi"/>
        </w:rPr>
        <w:t>% Available Capital</w:t>
      </w:r>
    </w:p>
    <w:p w14:paraId="5492231F" w14:textId="77777777" w:rsidR="00026276" w:rsidRPr="00392020" w:rsidRDefault="00026276" w:rsidP="00392020">
      <w:pPr>
        <w:pStyle w:val="Heading2"/>
        <w:spacing w:line="276" w:lineRule="auto"/>
        <w:rPr>
          <w:rFonts w:asciiTheme="minorHAnsi" w:hAnsiTheme="minorHAnsi"/>
          <w:sz w:val="24"/>
          <w:szCs w:val="24"/>
        </w:rPr>
      </w:pPr>
      <w:bookmarkStart w:id="42" w:name="_Toc507416339"/>
      <w:r w:rsidRPr="00392020">
        <w:rPr>
          <w:rFonts w:asciiTheme="minorHAnsi" w:hAnsiTheme="minorHAnsi"/>
          <w:sz w:val="24"/>
          <w:szCs w:val="24"/>
        </w:rPr>
        <w:t>Appraisals</w:t>
      </w:r>
      <w:bookmarkEnd w:id="41"/>
      <w:bookmarkEnd w:id="42"/>
    </w:p>
    <w:p w14:paraId="055A3D99" w14:textId="77777777" w:rsidR="002911EF" w:rsidRPr="002152EB" w:rsidRDefault="008C0694" w:rsidP="002152EB">
      <w:pPr>
        <w:pStyle w:val="ListParagraph"/>
        <w:spacing w:before="120" w:after="60" w:line="276" w:lineRule="auto"/>
        <w:ind w:left="0"/>
        <w:contextualSpacing w:val="0"/>
        <w:jc w:val="both"/>
        <w:rPr>
          <w:rFonts w:asciiTheme="minorHAnsi" w:hAnsiTheme="minorHAnsi"/>
        </w:rPr>
      </w:pPr>
      <w:r w:rsidRPr="002152EB">
        <w:rPr>
          <w:rFonts w:asciiTheme="minorHAnsi" w:hAnsiTheme="minorHAnsi"/>
          <w:color w:val="2E74B5"/>
        </w:rPr>
        <w:fldChar w:fldCharType="begin"/>
      </w:r>
      <w:r w:rsidRPr="002152EB">
        <w:rPr>
          <w:rFonts w:asciiTheme="minorHAnsi" w:hAnsiTheme="minorHAnsi"/>
          <w:color w:val="2E74B5"/>
        </w:rPr>
        <w:instrText xml:space="preserve"> MACROBUTTON  AcceptAllChangesInDoc "Credit Union Name" </w:instrText>
      </w:r>
      <w:r w:rsidRPr="002152EB">
        <w:rPr>
          <w:rFonts w:asciiTheme="minorHAnsi" w:hAnsiTheme="minorHAnsi"/>
          <w:color w:val="2E74B5"/>
        </w:rPr>
        <w:fldChar w:fldCharType="end"/>
      </w:r>
      <w:r w:rsidR="00026276" w:rsidRPr="002152EB">
        <w:rPr>
          <w:rFonts w:asciiTheme="minorHAnsi" w:hAnsiTheme="minorHAnsi"/>
        </w:rPr>
        <w:t xml:space="preserve"> is to maintain a list of approved appraisers</w:t>
      </w:r>
      <w:r w:rsidR="001E1EB5" w:rsidRPr="002152EB">
        <w:rPr>
          <w:rFonts w:asciiTheme="minorHAnsi" w:hAnsiTheme="minorHAnsi"/>
        </w:rPr>
        <w:t>.</w:t>
      </w:r>
      <w:r w:rsidR="00026276" w:rsidRPr="002152EB">
        <w:rPr>
          <w:rFonts w:asciiTheme="minorHAnsi" w:hAnsiTheme="minorHAnsi"/>
        </w:rPr>
        <w:t xml:space="preserve"> Appraisals are to include valuations based on direct sales and net income capitalization and where the purpose is construction, an additional valuation for replacement cost</w:t>
      </w:r>
      <w:r w:rsidR="001E1EB5" w:rsidRPr="002152EB">
        <w:rPr>
          <w:rFonts w:asciiTheme="minorHAnsi" w:hAnsiTheme="minorHAnsi"/>
        </w:rPr>
        <w:t>.</w:t>
      </w:r>
      <w:r w:rsidR="00026276" w:rsidRPr="002152EB">
        <w:rPr>
          <w:rFonts w:asciiTheme="minorHAnsi" w:hAnsiTheme="minorHAnsi"/>
        </w:rPr>
        <w:t xml:space="preserve"> </w:t>
      </w:r>
      <w:r w:rsidR="00F23534" w:rsidRPr="002152EB">
        <w:rPr>
          <w:rFonts w:asciiTheme="minorHAnsi" w:hAnsiTheme="minorHAnsi"/>
        </w:rPr>
        <w:t xml:space="preserve">The lowest of the three methods </w:t>
      </w:r>
      <w:r w:rsidR="002911EF" w:rsidRPr="002152EB">
        <w:rPr>
          <w:rFonts w:asciiTheme="minorHAnsi" w:hAnsiTheme="minorHAnsi"/>
        </w:rPr>
        <w:t xml:space="preserve">should </w:t>
      </w:r>
      <w:r w:rsidR="00B73CB1" w:rsidRPr="002152EB">
        <w:rPr>
          <w:rFonts w:asciiTheme="minorHAnsi" w:hAnsiTheme="minorHAnsi"/>
        </w:rPr>
        <w:t xml:space="preserve">normally </w:t>
      </w:r>
      <w:r w:rsidR="00F23534" w:rsidRPr="002152EB">
        <w:rPr>
          <w:rFonts w:asciiTheme="minorHAnsi" w:hAnsiTheme="minorHAnsi"/>
        </w:rPr>
        <w:t xml:space="preserve">be </w:t>
      </w:r>
      <w:r w:rsidR="002911EF" w:rsidRPr="002152EB">
        <w:rPr>
          <w:rFonts w:asciiTheme="minorHAnsi" w:hAnsiTheme="minorHAnsi"/>
        </w:rPr>
        <w:t xml:space="preserve">considered </w:t>
      </w:r>
      <w:r w:rsidR="00F23534" w:rsidRPr="002152EB">
        <w:rPr>
          <w:rFonts w:asciiTheme="minorHAnsi" w:hAnsiTheme="minorHAnsi"/>
        </w:rPr>
        <w:t>for lending purposes</w:t>
      </w:r>
      <w:r w:rsidR="002152EB">
        <w:rPr>
          <w:rFonts w:asciiTheme="minorHAnsi" w:hAnsiTheme="minorHAnsi"/>
        </w:rPr>
        <w:t>;</w:t>
      </w:r>
      <w:r w:rsidR="002911EF" w:rsidRPr="002152EB">
        <w:rPr>
          <w:rFonts w:asciiTheme="minorHAnsi" w:hAnsiTheme="minorHAnsi"/>
        </w:rPr>
        <w:t xml:space="preserve"> however</w:t>
      </w:r>
      <w:r w:rsidR="002152EB">
        <w:rPr>
          <w:rFonts w:asciiTheme="minorHAnsi" w:hAnsiTheme="minorHAnsi"/>
        </w:rPr>
        <w:t>,</w:t>
      </w:r>
      <w:r w:rsidR="002911EF" w:rsidRPr="002152EB">
        <w:rPr>
          <w:rFonts w:asciiTheme="minorHAnsi" w:hAnsiTheme="minorHAnsi"/>
        </w:rPr>
        <w:t xml:space="preserve"> the Appraiser’s Final Value may be used</w:t>
      </w:r>
      <w:r w:rsidR="00B73CB1" w:rsidRPr="002152EB">
        <w:rPr>
          <w:rFonts w:asciiTheme="minorHAnsi" w:hAnsiTheme="minorHAnsi"/>
        </w:rPr>
        <w:t>, as an exception,</w:t>
      </w:r>
      <w:r w:rsidR="002911EF" w:rsidRPr="002152EB">
        <w:rPr>
          <w:rFonts w:asciiTheme="minorHAnsi" w:hAnsiTheme="minorHAnsi"/>
        </w:rPr>
        <w:t xml:space="preserve"> if the other methods are reviewed, addressed within the credit application and the Appraisal final value is determined reasonable</w:t>
      </w:r>
      <w:r w:rsidR="00F23534" w:rsidRPr="002152EB">
        <w:rPr>
          <w:rFonts w:asciiTheme="minorHAnsi" w:hAnsiTheme="minorHAnsi"/>
        </w:rPr>
        <w:t>.</w:t>
      </w:r>
      <w:r w:rsidR="00134B03" w:rsidRPr="002152EB">
        <w:rPr>
          <w:rFonts w:asciiTheme="minorHAnsi" w:hAnsiTheme="minorHAnsi"/>
        </w:rPr>
        <w:t xml:space="preserve"> Based on a review of the appraisal, including appraisal income, CAP rates and sales </w:t>
      </w:r>
      <w:proofErr w:type="spellStart"/>
      <w:r w:rsidR="00134B03" w:rsidRPr="002152EB">
        <w:rPr>
          <w:rFonts w:asciiTheme="minorHAnsi" w:hAnsiTheme="minorHAnsi"/>
        </w:rPr>
        <w:t>comparables</w:t>
      </w:r>
      <w:proofErr w:type="spellEnd"/>
      <w:r w:rsidR="00134B03" w:rsidRPr="002152EB">
        <w:rPr>
          <w:rFonts w:asciiTheme="minorHAnsi" w:hAnsiTheme="minorHAnsi"/>
        </w:rPr>
        <w:t xml:space="preserve">, a lower Manager Valuation may </w:t>
      </w:r>
      <w:r w:rsidR="00673678" w:rsidRPr="002152EB">
        <w:rPr>
          <w:rFonts w:asciiTheme="minorHAnsi" w:hAnsiTheme="minorHAnsi"/>
        </w:rPr>
        <w:t>be appropriate.</w:t>
      </w:r>
      <w:r w:rsidR="00134B03" w:rsidRPr="002152EB">
        <w:rPr>
          <w:rFonts w:asciiTheme="minorHAnsi" w:hAnsiTheme="minorHAnsi"/>
        </w:rPr>
        <w:t xml:space="preserve"> </w:t>
      </w:r>
    </w:p>
    <w:p w14:paraId="71F9C82F" w14:textId="77777777" w:rsidR="00026276" w:rsidRPr="002152EB" w:rsidRDefault="008C0694" w:rsidP="002152EB">
      <w:pPr>
        <w:pStyle w:val="ListParagraph"/>
        <w:spacing w:before="120" w:after="60" w:line="276" w:lineRule="auto"/>
        <w:ind w:left="0"/>
        <w:contextualSpacing w:val="0"/>
        <w:jc w:val="both"/>
        <w:rPr>
          <w:rFonts w:asciiTheme="minorHAnsi" w:hAnsiTheme="minorHAnsi"/>
        </w:rPr>
      </w:pPr>
      <w:r w:rsidRPr="002152EB">
        <w:rPr>
          <w:rFonts w:asciiTheme="minorHAnsi" w:hAnsiTheme="minorHAnsi"/>
          <w:color w:val="2E74B5"/>
        </w:rPr>
        <w:lastRenderedPageBreak/>
        <w:fldChar w:fldCharType="begin"/>
      </w:r>
      <w:r w:rsidRPr="002152EB">
        <w:rPr>
          <w:rFonts w:asciiTheme="minorHAnsi" w:hAnsiTheme="minorHAnsi"/>
          <w:color w:val="2E74B5"/>
        </w:rPr>
        <w:instrText xml:space="preserve"> MACROBUTTON  AcceptAllChangesInDoc "CU Short Name" </w:instrText>
      </w:r>
      <w:r w:rsidRPr="002152EB">
        <w:rPr>
          <w:rFonts w:asciiTheme="minorHAnsi" w:hAnsiTheme="minorHAnsi"/>
          <w:color w:val="2E74B5"/>
        </w:rPr>
        <w:fldChar w:fldCharType="end"/>
      </w:r>
      <w:r w:rsidR="00026276" w:rsidRPr="002152EB">
        <w:rPr>
          <w:rFonts w:asciiTheme="minorHAnsi" w:hAnsiTheme="minorHAnsi"/>
        </w:rPr>
        <w:t xml:space="preserve">may require appraisals to be commissioned by the </w:t>
      </w:r>
      <w:r w:rsidR="00FF4AAF" w:rsidRPr="002152EB">
        <w:rPr>
          <w:rFonts w:asciiTheme="minorHAnsi" w:hAnsiTheme="minorHAnsi"/>
        </w:rPr>
        <w:t>c</w:t>
      </w:r>
      <w:r w:rsidR="00026276" w:rsidRPr="002152EB">
        <w:rPr>
          <w:rFonts w:asciiTheme="minorHAnsi" w:hAnsiTheme="minorHAnsi"/>
        </w:rPr>
        <w:t xml:space="preserve">redit </w:t>
      </w:r>
      <w:r w:rsidR="00FF4AAF" w:rsidRPr="002152EB">
        <w:rPr>
          <w:rFonts w:asciiTheme="minorHAnsi" w:hAnsiTheme="minorHAnsi"/>
        </w:rPr>
        <w:t>u</w:t>
      </w:r>
      <w:r w:rsidR="00026276" w:rsidRPr="002152EB">
        <w:rPr>
          <w:rFonts w:asciiTheme="minorHAnsi" w:hAnsiTheme="minorHAnsi"/>
        </w:rPr>
        <w:t xml:space="preserve">nion, where borrowing risk is </w:t>
      </w:r>
      <w:r w:rsidR="00527A63" w:rsidRPr="002152EB">
        <w:rPr>
          <w:rFonts w:asciiTheme="minorHAnsi" w:hAnsiTheme="minorHAnsi"/>
        </w:rPr>
        <w:t xml:space="preserve">assessed as </w:t>
      </w:r>
      <w:r w:rsidR="00026276" w:rsidRPr="002152EB">
        <w:rPr>
          <w:rFonts w:asciiTheme="minorHAnsi" w:hAnsiTheme="minorHAnsi"/>
        </w:rPr>
        <w:t>elevated</w:t>
      </w:r>
      <w:r w:rsidR="001E1EB5" w:rsidRPr="002152EB">
        <w:rPr>
          <w:rFonts w:asciiTheme="minorHAnsi" w:hAnsiTheme="minorHAnsi"/>
        </w:rPr>
        <w:t>.</w:t>
      </w:r>
      <w:r w:rsidR="00026276" w:rsidRPr="002152EB">
        <w:rPr>
          <w:rFonts w:asciiTheme="minorHAnsi" w:hAnsiTheme="minorHAnsi"/>
        </w:rPr>
        <w:t xml:space="preserve"> </w:t>
      </w:r>
      <w:r w:rsidR="002911EF" w:rsidRPr="002152EB">
        <w:rPr>
          <w:rFonts w:asciiTheme="minorHAnsi" w:hAnsiTheme="minorHAnsi"/>
        </w:rPr>
        <w:t xml:space="preserve">Where appraisals are commissioned by the borrower or not prepared for the credit union, the appraiser is to provide a conveyance letter. </w:t>
      </w:r>
      <w:r w:rsidR="00026276" w:rsidRPr="002152EB">
        <w:rPr>
          <w:rFonts w:asciiTheme="minorHAnsi" w:hAnsiTheme="minorHAnsi"/>
        </w:rPr>
        <w:t xml:space="preserve">Appraisals are to be subject to lender due diligence, particularly relative to direct sales </w:t>
      </w:r>
      <w:proofErr w:type="spellStart"/>
      <w:r w:rsidR="00026276" w:rsidRPr="002152EB">
        <w:rPr>
          <w:rFonts w:asciiTheme="minorHAnsi" w:hAnsiTheme="minorHAnsi"/>
        </w:rPr>
        <w:t>comparables</w:t>
      </w:r>
      <w:proofErr w:type="spellEnd"/>
      <w:r w:rsidR="00026276" w:rsidRPr="002152EB">
        <w:rPr>
          <w:rFonts w:asciiTheme="minorHAnsi" w:hAnsiTheme="minorHAnsi"/>
        </w:rPr>
        <w:t>, net operating income determination and capitali</w:t>
      </w:r>
      <w:r w:rsidR="00FF4AAF" w:rsidRPr="002152EB">
        <w:rPr>
          <w:rFonts w:asciiTheme="minorHAnsi" w:hAnsiTheme="minorHAnsi"/>
        </w:rPr>
        <w:t>zation rates.</w:t>
      </w:r>
      <w:r w:rsidR="00F23534" w:rsidRPr="002152EB">
        <w:rPr>
          <w:rFonts w:asciiTheme="minorHAnsi" w:hAnsiTheme="minorHAnsi"/>
        </w:rPr>
        <w:t xml:space="preserve"> Where the internal review indicates a lower value may be </w:t>
      </w:r>
      <w:r w:rsidR="00D935A8" w:rsidRPr="002152EB">
        <w:rPr>
          <w:rFonts w:asciiTheme="minorHAnsi" w:hAnsiTheme="minorHAnsi"/>
        </w:rPr>
        <w:t>appropriate</w:t>
      </w:r>
      <w:r w:rsidR="00F23534" w:rsidRPr="002152EB">
        <w:rPr>
          <w:rFonts w:asciiTheme="minorHAnsi" w:hAnsiTheme="minorHAnsi"/>
        </w:rPr>
        <w:t xml:space="preserve">, </w:t>
      </w:r>
      <w:r w:rsidR="001F6B03" w:rsidRPr="002152EB">
        <w:rPr>
          <w:rFonts w:asciiTheme="minorHAnsi" w:hAnsiTheme="minorHAnsi"/>
        </w:rPr>
        <w:t xml:space="preserve">the </w:t>
      </w:r>
      <w:r w:rsidR="00F23534" w:rsidRPr="002152EB">
        <w:rPr>
          <w:rFonts w:asciiTheme="minorHAnsi" w:hAnsiTheme="minorHAnsi"/>
        </w:rPr>
        <w:t xml:space="preserve">lower manager’s valuation </w:t>
      </w:r>
      <w:r w:rsidR="001F6B03" w:rsidRPr="002152EB">
        <w:rPr>
          <w:rFonts w:asciiTheme="minorHAnsi" w:hAnsiTheme="minorHAnsi"/>
        </w:rPr>
        <w:t>will be used for lending purposes.</w:t>
      </w:r>
    </w:p>
    <w:p w14:paraId="1681965B" w14:textId="77777777" w:rsidR="00026276" w:rsidRPr="00392020" w:rsidRDefault="00026276" w:rsidP="00392020">
      <w:pPr>
        <w:pStyle w:val="Heading2"/>
        <w:spacing w:before="120" w:line="276" w:lineRule="auto"/>
        <w:rPr>
          <w:rFonts w:asciiTheme="minorHAnsi" w:hAnsiTheme="minorHAnsi"/>
          <w:sz w:val="24"/>
          <w:szCs w:val="24"/>
        </w:rPr>
      </w:pPr>
      <w:bookmarkStart w:id="43" w:name="_Toc321901235"/>
      <w:bookmarkStart w:id="44" w:name="_Toc507416340"/>
      <w:r w:rsidRPr="00392020">
        <w:rPr>
          <w:rFonts w:asciiTheme="minorHAnsi" w:hAnsiTheme="minorHAnsi"/>
          <w:sz w:val="24"/>
          <w:szCs w:val="24"/>
        </w:rPr>
        <w:t>Environmental</w:t>
      </w:r>
      <w:bookmarkEnd w:id="43"/>
      <w:bookmarkEnd w:id="44"/>
    </w:p>
    <w:p w14:paraId="0471EE77" w14:textId="77777777" w:rsidR="00026276" w:rsidRPr="002152EB" w:rsidRDefault="00026276" w:rsidP="002152EB">
      <w:pPr>
        <w:pStyle w:val="ListParagraph"/>
        <w:spacing w:before="120" w:after="60" w:line="276" w:lineRule="auto"/>
        <w:ind w:left="0"/>
        <w:contextualSpacing w:val="0"/>
        <w:jc w:val="both"/>
        <w:rPr>
          <w:rFonts w:asciiTheme="minorHAnsi" w:hAnsiTheme="minorHAnsi"/>
        </w:rPr>
      </w:pPr>
      <w:r w:rsidRPr="002152EB">
        <w:rPr>
          <w:rFonts w:asciiTheme="minorHAnsi" w:hAnsiTheme="minorHAnsi"/>
        </w:rPr>
        <w:t>Environmental conditions are to be addressed when lending against non-consumer real estate</w:t>
      </w:r>
      <w:r w:rsidR="00527A63" w:rsidRPr="002152EB">
        <w:rPr>
          <w:rFonts w:asciiTheme="minorHAnsi" w:hAnsiTheme="minorHAnsi"/>
        </w:rPr>
        <w:t xml:space="preserve">, </w:t>
      </w:r>
      <w:proofErr w:type="gramStart"/>
      <w:r w:rsidR="00527A63" w:rsidRPr="002152EB">
        <w:rPr>
          <w:rFonts w:asciiTheme="minorHAnsi" w:hAnsiTheme="minorHAnsi"/>
        </w:rPr>
        <w:t>with the exception of</w:t>
      </w:r>
      <w:proofErr w:type="gramEnd"/>
      <w:r w:rsidR="00527A63" w:rsidRPr="002152EB">
        <w:rPr>
          <w:rFonts w:asciiTheme="minorHAnsi" w:hAnsiTheme="minorHAnsi"/>
        </w:rPr>
        <w:t xml:space="preserve"> non-intensive farm property</w:t>
      </w:r>
      <w:r w:rsidRPr="002152EB">
        <w:rPr>
          <w:rFonts w:asciiTheme="minorHAnsi" w:hAnsiTheme="minorHAnsi"/>
        </w:rPr>
        <w:t xml:space="preserve"> and appropr</w:t>
      </w:r>
      <w:r w:rsidR="00FF4AAF" w:rsidRPr="002152EB">
        <w:rPr>
          <w:rFonts w:asciiTheme="minorHAnsi" w:hAnsiTheme="minorHAnsi"/>
        </w:rPr>
        <w:t>iate documentation maintained</w:t>
      </w:r>
      <w:r w:rsidR="002911EF" w:rsidRPr="002152EB">
        <w:rPr>
          <w:rFonts w:asciiTheme="minorHAnsi" w:hAnsiTheme="minorHAnsi"/>
        </w:rPr>
        <w:t>, including an environmental indemnity agreement from the borrower</w:t>
      </w:r>
      <w:r w:rsidR="00FF4AAF" w:rsidRPr="002152EB">
        <w:rPr>
          <w:rFonts w:asciiTheme="minorHAnsi" w:hAnsiTheme="minorHAnsi"/>
        </w:rPr>
        <w:t xml:space="preserve">. </w:t>
      </w:r>
      <w:r w:rsidR="008C0694" w:rsidRPr="002152EB">
        <w:rPr>
          <w:rFonts w:asciiTheme="minorHAnsi" w:hAnsiTheme="minorHAnsi"/>
          <w:color w:val="2E74B5"/>
        </w:rPr>
        <w:fldChar w:fldCharType="begin"/>
      </w:r>
      <w:r w:rsidR="008C0694" w:rsidRPr="002152EB">
        <w:rPr>
          <w:rFonts w:asciiTheme="minorHAnsi" w:hAnsiTheme="minorHAnsi"/>
          <w:color w:val="2E74B5"/>
        </w:rPr>
        <w:instrText xml:space="preserve"> MACROBUTTON  AcceptAllChangesInDoc "Credit Union Name" </w:instrText>
      </w:r>
      <w:r w:rsidR="008C0694" w:rsidRPr="002152EB">
        <w:rPr>
          <w:rFonts w:asciiTheme="minorHAnsi" w:hAnsiTheme="minorHAnsi"/>
          <w:color w:val="2E74B5"/>
        </w:rPr>
        <w:fldChar w:fldCharType="end"/>
      </w:r>
      <w:r w:rsidR="003F1D44" w:rsidRPr="002152EB">
        <w:rPr>
          <w:rFonts w:asciiTheme="minorHAnsi" w:hAnsiTheme="minorHAnsi"/>
        </w:rPr>
        <w:t xml:space="preserve"> </w:t>
      </w:r>
      <w:r w:rsidRPr="002152EB">
        <w:rPr>
          <w:rFonts w:asciiTheme="minorHAnsi" w:hAnsiTheme="minorHAnsi"/>
        </w:rPr>
        <w:t>is to maintain a list of approved environmental engineers</w:t>
      </w:r>
      <w:r w:rsidR="00AE0FF8" w:rsidRPr="002152EB">
        <w:rPr>
          <w:rFonts w:asciiTheme="minorHAnsi" w:hAnsiTheme="minorHAnsi"/>
        </w:rPr>
        <w:t>.</w:t>
      </w:r>
      <w:r w:rsidRPr="002152EB">
        <w:rPr>
          <w:rFonts w:asciiTheme="minorHAnsi" w:hAnsiTheme="minorHAnsi"/>
        </w:rPr>
        <w:t xml:space="preserve"> Environmental assessments are to be subject to lender due diligence</w:t>
      </w:r>
      <w:r w:rsidR="00AE0FF8" w:rsidRPr="002152EB">
        <w:rPr>
          <w:rFonts w:asciiTheme="minorHAnsi" w:hAnsiTheme="minorHAnsi"/>
        </w:rPr>
        <w:t>.</w:t>
      </w:r>
      <w:r w:rsidRPr="002152EB">
        <w:rPr>
          <w:rFonts w:asciiTheme="minorHAnsi" w:hAnsiTheme="minorHAnsi"/>
        </w:rPr>
        <w:t xml:space="preserve"> </w:t>
      </w:r>
      <w:r w:rsidR="00A73665" w:rsidRPr="002152EB">
        <w:rPr>
          <w:rFonts w:asciiTheme="minorHAnsi" w:hAnsiTheme="minorHAnsi"/>
        </w:rPr>
        <w:t>M</w:t>
      </w:r>
      <w:r w:rsidRPr="002152EB">
        <w:rPr>
          <w:rFonts w:asciiTheme="minorHAnsi" w:hAnsiTheme="minorHAnsi"/>
        </w:rPr>
        <w:t>aterial environmental concerns are to be monitored and included in periodic Board reporting.</w:t>
      </w:r>
    </w:p>
    <w:p w14:paraId="21D5F0B2" w14:textId="77777777" w:rsidR="00026276" w:rsidRPr="00392020" w:rsidRDefault="00026276" w:rsidP="00392020">
      <w:pPr>
        <w:pStyle w:val="Heading2"/>
        <w:spacing w:before="120" w:line="276" w:lineRule="auto"/>
        <w:rPr>
          <w:rFonts w:asciiTheme="minorHAnsi" w:hAnsiTheme="minorHAnsi"/>
          <w:sz w:val="24"/>
          <w:szCs w:val="24"/>
        </w:rPr>
      </w:pPr>
      <w:bookmarkStart w:id="45" w:name="_Toc321901236"/>
      <w:bookmarkStart w:id="46" w:name="_Toc507416341"/>
      <w:r w:rsidRPr="00392020">
        <w:rPr>
          <w:rFonts w:asciiTheme="minorHAnsi" w:hAnsiTheme="minorHAnsi"/>
          <w:sz w:val="24"/>
          <w:szCs w:val="24"/>
        </w:rPr>
        <w:t>Mechanical</w:t>
      </w:r>
      <w:r w:rsidR="001E1EB5" w:rsidRPr="00392020">
        <w:rPr>
          <w:rFonts w:asciiTheme="minorHAnsi" w:hAnsiTheme="minorHAnsi"/>
          <w:sz w:val="24"/>
          <w:szCs w:val="24"/>
        </w:rPr>
        <w:t xml:space="preserve"> &amp; Building</w:t>
      </w:r>
      <w:r w:rsidRPr="00392020">
        <w:rPr>
          <w:rFonts w:asciiTheme="minorHAnsi" w:hAnsiTheme="minorHAnsi"/>
          <w:sz w:val="24"/>
          <w:szCs w:val="24"/>
        </w:rPr>
        <w:t xml:space="preserve"> Condition Reports</w:t>
      </w:r>
      <w:bookmarkEnd w:id="45"/>
      <w:bookmarkEnd w:id="46"/>
    </w:p>
    <w:p w14:paraId="277FAF9D" w14:textId="77777777" w:rsidR="00026276" w:rsidRPr="002152EB" w:rsidRDefault="001E1EB5" w:rsidP="002152EB">
      <w:pPr>
        <w:pStyle w:val="ListParagraph"/>
        <w:spacing w:before="120" w:after="60" w:line="276" w:lineRule="auto"/>
        <w:ind w:left="0"/>
        <w:contextualSpacing w:val="0"/>
        <w:jc w:val="both"/>
        <w:rPr>
          <w:rFonts w:asciiTheme="minorHAnsi" w:hAnsiTheme="minorHAnsi"/>
        </w:rPr>
      </w:pPr>
      <w:r w:rsidRPr="002152EB">
        <w:rPr>
          <w:rFonts w:asciiTheme="minorHAnsi" w:hAnsiTheme="minorHAnsi"/>
        </w:rPr>
        <w:t>Mechanical and building conditions are to be addressed and documented when lending against non-consumer real estate</w:t>
      </w:r>
      <w:r w:rsidR="00134FB1" w:rsidRPr="002152EB">
        <w:rPr>
          <w:rFonts w:asciiTheme="minorHAnsi" w:hAnsiTheme="minorHAnsi"/>
        </w:rPr>
        <w:t xml:space="preserve">, </w:t>
      </w:r>
      <w:proofErr w:type="gramStart"/>
      <w:r w:rsidR="00134FB1" w:rsidRPr="002152EB">
        <w:rPr>
          <w:rFonts w:asciiTheme="minorHAnsi" w:hAnsiTheme="minorHAnsi"/>
        </w:rPr>
        <w:t>with the exception of</w:t>
      </w:r>
      <w:proofErr w:type="gramEnd"/>
      <w:r w:rsidR="00134FB1" w:rsidRPr="002152EB">
        <w:rPr>
          <w:rFonts w:asciiTheme="minorHAnsi" w:hAnsiTheme="minorHAnsi"/>
        </w:rPr>
        <w:t xml:space="preserve"> non-intensive farm property</w:t>
      </w:r>
      <w:r w:rsidRPr="002152EB">
        <w:rPr>
          <w:rFonts w:asciiTheme="minorHAnsi" w:hAnsiTheme="minorHAnsi"/>
        </w:rPr>
        <w:t xml:space="preserve">. </w:t>
      </w:r>
      <w:r w:rsidR="008C0694" w:rsidRPr="002152EB">
        <w:rPr>
          <w:rFonts w:asciiTheme="minorHAnsi" w:hAnsiTheme="minorHAnsi"/>
          <w:color w:val="2E74B5"/>
        </w:rPr>
        <w:fldChar w:fldCharType="begin"/>
      </w:r>
      <w:r w:rsidR="008C0694" w:rsidRPr="002152EB">
        <w:rPr>
          <w:rFonts w:asciiTheme="minorHAnsi" w:hAnsiTheme="minorHAnsi"/>
          <w:color w:val="2E74B5"/>
        </w:rPr>
        <w:instrText xml:space="preserve"> MACROBUTTON  AcceptAllChangesInDoc "Credit Union Name" </w:instrText>
      </w:r>
      <w:r w:rsidR="008C0694" w:rsidRPr="002152EB">
        <w:rPr>
          <w:rFonts w:asciiTheme="minorHAnsi" w:hAnsiTheme="minorHAnsi"/>
          <w:color w:val="2E74B5"/>
        </w:rPr>
        <w:fldChar w:fldCharType="end"/>
      </w:r>
      <w:r w:rsidR="00026276" w:rsidRPr="002152EB">
        <w:rPr>
          <w:rFonts w:asciiTheme="minorHAnsi" w:hAnsiTheme="minorHAnsi"/>
        </w:rPr>
        <w:t xml:space="preserve"> is to maintain a list of approved Engineers</w:t>
      </w:r>
      <w:r w:rsidR="00AE0FF8" w:rsidRPr="002152EB">
        <w:rPr>
          <w:rFonts w:asciiTheme="minorHAnsi" w:hAnsiTheme="minorHAnsi"/>
        </w:rPr>
        <w:t>.</w:t>
      </w:r>
      <w:r w:rsidR="00026276" w:rsidRPr="002152EB">
        <w:rPr>
          <w:rFonts w:asciiTheme="minorHAnsi" w:hAnsiTheme="minorHAnsi"/>
        </w:rPr>
        <w:t xml:space="preserve"> </w:t>
      </w:r>
      <w:r w:rsidRPr="002152EB">
        <w:rPr>
          <w:rFonts w:asciiTheme="minorHAnsi" w:hAnsiTheme="minorHAnsi"/>
        </w:rPr>
        <w:t>C</w:t>
      </w:r>
      <w:r w:rsidR="00026276" w:rsidRPr="002152EB">
        <w:rPr>
          <w:rFonts w:asciiTheme="minorHAnsi" w:hAnsiTheme="minorHAnsi"/>
        </w:rPr>
        <w:t>ondition reports are to be subject to lender due diligence</w:t>
      </w:r>
      <w:r w:rsidR="00AE0FF8" w:rsidRPr="002152EB">
        <w:rPr>
          <w:rFonts w:asciiTheme="minorHAnsi" w:hAnsiTheme="minorHAnsi"/>
        </w:rPr>
        <w:t>.</w:t>
      </w:r>
      <w:r w:rsidR="00026276" w:rsidRPr="002152EB">
        <w:rPr>
          <w:rFonts w:asciiTheme="minorHAnsi" w:hAnsiTheme="minorHAnsi"/>
        </w:rPr>
        <w:t xml:space="preserve"> A maintenance reserve may be required to fund material structural and maintenance concerns identified within the report.</w:t>
      </w:r>
    </w:p>
    <w:p w14:paraId="6880D06E" w14:textId="77777777" w:rsidR="00105E95" w:rsidRPr="00392020" w:rsidRDefault="00105E95" w:rsidP="00392020">
      <w:pPr>
        <w:pStyle w:val="Heading1"/>
        <w:spacing w:line="276" w:lineRule="auto"/>
      </w:pPr>
      <w:bookmarkStart w:id="47" w:name="_Toc321901237"/>
      <w:bookmarkStart w:id="48" w:name="_Toc507416342"/>
      <w:r w:rsidRPr="00392020">
        <w:t>Credit Administration</w:t>
      </w:r>
      <w:bookmarkEnd w:id="47"/>
      <w:bookmarkEnd w:id="48"/>
    </w:p>
    <w:p w14:paraId="30C90738" w14:textId="77777777" w:rsidR="00134FB1" w:rsidRPr="002152EB" w:rsidRDefault="008C0694" w:rsidP="002152EB">
      <w:pPr>
        <w:spacing w:before="120" w:after="60" w:line="276" w:lineRule="auto"/>
        <w:jc w:val="both"/>
        <w:rPr>
          <w:rFonts w:asciiTheme="minorHAnsi" w:hAnsiTheme="minorHAnsi"/>
          <w:szCs w:val="22"/>
        </w:rPr>
      </w:pPr>
      <w:r w:rsidRPr="002152EB">
        <w:rPr>
          <w:rFonts w:asciiTheme="minorHAnsi" w:hAnsiTheme="minorHAnsi"/>
          <w:color w:val="2E74B5"/>
          <w:szCs w:val="22"/>
        </w:rPr>
        <w:fldChar w:fldCharType="begin"/>
      </w:r>
      <w:r w:rsidRPr="002152EB">
        <w:rPr>
          <w:rFonts w:asciiTheme="minorHAnsi" w:hAnsiTheme="minorHAnsi"/>
          <w:color w:val="2E74B5"/>
          <w:szCs w:val="22"/>
        </w:rPr>
        <w:instrText xml:space="preserve"> MACROBUTTON  AcceptAllChangesInDoc "Credit Union Name" </w:instrText>
      </w:r>
      <w:r w:rsidRPr="002152EB">
        <w:rPr>
          <w:rFonts w:asciiTheme="minorHAnsi" w:hAnsiTheme="minorHAnsi"/>
          <w:color w:val="2E74B5"/>
          <w:szCs w:val="22"/>
        </w:rPr>
        <w:fldChar w:fldCharType="end"/>
      </w:r>
      <w:r w:rsidR="00105E95" w:rsidRPr="002152EB">
        <w:rPr>
          <w:rFonts w:asciiTheme="minorHAnsi" w:hAnsiTheme="minorHAnsi"/>
          <w:szCs w:val="22"/>
        </w:rPr>
        <w:t xml:space="preserve"> will establish and </w:t>
      </w:r>
      <w:r w:rsidR="00FF60D5" w:rsidRPr="002152EB">
        <w:rPr>
          <w:rFonts w:asciiTheme="minorHAnsi" w:hAnsiTheme="minorHAnsi"/>
          <w:szCs w:val="22"/>
        </w:rPr>
        <w:t>implement</w:t>
      </w:r>
      <w:r w:rsidR="00105E95" w:rsidRPr="002152EB">
        <w:rPr>
          <w:rFonts w:asciiTheme="minorHAnsi" w:hAnsiTheme="minorHAnsi"/>
          <w:szCs w:val="22"/>
        </w:rPr>
        <w:t xml:space="preserve"> appropriate </w:t>
      </w:r>
      <w:r w:rsidR="00433148" w:rsidRPr="002152EB">
        <w:rPr>
          <w:rFonts w:asciiTheme="minorHAnsi" w:hAnsiTheme="minorHAnsi"/>
          <w:szCs w:val="22"/>
        </w:rPr>
        <w:t xml:space="preserve">operating </w:t>
      </w:r>
      <w:proofErr w:type="gramStart"/>
      <w:r w:rsidR="00FF60D5" w:rsidRPr="002152EB">
        <w:rPr>
          <w:rFonts w:asciiTheme="minorHAnsi" w:hAnsiTheme="minorHAnsi"/>
          <w:szCs w:val="22"/>
        </w:rPr>
        <w:t xml:space="preserve">policies, </w:t>
      </w:r>
      <w:r w:rsidR="00433148" w:rsidRPr="002152EB">
        <w:rPr>
          <w:rFonts w:asciiTheme="minorHAnsi" w:hAnsiTheme="minorHAnsi"/>
          <w:szCs w:val="22"/>
        </w:rPr>
        <w:t xml:space="preserve"> guidelines</w:t>
      </w:r>
      <w:proofErr w:type="gramEnd"/>
      <w:r w:rsidR="00FF60D5" w:rsidRPr="002152EB">
        <w:rPr>
          <w:rFonts w:asciiTheme="minorHAnsi" w:hAnsiTheme="minorHAnsi"/>
          <w:szCs w:val="22"/>
        </w:rPr>
        <w:t xml:space="preserve"> and </w:t>
      </w:r>
      <w:r w:rsidR="00105E95" w:rsidRPr="002152EB">
        <w:rPr>
          <w:rFonts w:asciiTheme="minorHAnsi" w:hAnsiTheme="minorHAnsi"/>
          <w:szCs w:val="22"/>
        </w:rPr>
        <w:t>processes</w:t>
      </w:r>
      <w:r w:rsidR="00FF60D5" w:rsidRPr="002152EB">
        <w:rPr>
          <w:rFonts w:asciiTheme="minorHAnsi" w:hAnsiTheme="minorHAnsi"/>
          <w:szCs w:val="22"/>
        </w:rPr>
        <w:t xml:space="preserve">, supporting the Board’s credit risk </w:t>
      </w:r>
      <w:r w:rsidR="00343A85" w:rsidRPr="002152EB">
        <w:rPr>
          <w:rFonts w:asciiTheme="minorHAnsi" w:hAnsiTheme="minorHAnsi"/>
          <w:szCs w:val="22"/>
        </w:rPr>
        <w:t xml:space="preserve">strategy and </w:t>
      </w:r>
      <w:r w:rsidR="00FF60D5" w:rsidRPr="002152EB">
        <w:rPr>
          <w:rFonts w:asciiTheme="minorHAnsi" w:hAnsiTheme="minorHAnsi"/>
          <w:szCs w:val="22"/>
        </w:rPr>
        <w:t>appetite</w:t>
      </w:r>
      <w:r w:rsidR="00134FB1" w:rsidRPr="002152EB">
        <w:rPr>
          <w:rFonts w:asciiTheme="minorHAnsi" w:hAnsiTheme="minorHAnsi"/>
          <w:szCs w:val="22"/>
        </w:rPr>
        <w:t xml:space="preserve">, </w:t>
      </w:r>
      <w:r w:rsidR="00343A85" w:rsidRPr="002152EB">
        <w:rPr>
          <w:rFonts w:asciiTheme="minorHAnsi" w:hAnsiTheme="minorHAnsi"/>
          <w:szCs w:val="22"/>
        </w:rPr>
        <w:t>promoting sound credit risk management</w:t>
      </w:r>
      <w:r w:rsidR="00105E95" w:rsidRPr="002152EB">
        <w:rPr>
          <w:rFonts w:asciiTheme="minorHAnsi" w:hAnsiTheme="minorHAnsi"/>
          <w:szCs w:val="22"/>
        </w:rPr>
        <w:t xml:space="preserve"> for loan </w:t>
      </w:r>
      <w:r w:rsidR="00FF60D5" w:rsidRPr="002152EB">
        <w:rPr>
          <w:rFonts w:asciiTheme="minorHAnsi" w:hAnsiTheme="minorHAnsi"/>
          <w:szCs w:val="22"/>
        </w:rPr>
        <w:t>underwriting</w:t>
      </w:r>
      <w:r w:rsidR="00AE0FF8" w:rsidRPr="002152EB">
        <w:rPr>
          <w:rFonts w:asciiTheme="minorHAnsi" w:hAnsiTheme="minorHAnsi"/>
          <w:szCs w:val="22"/>
        </w:rPr>
        <w:t>;</w:t>
      </w:r>
      <w:r w:rsidR="00FF60D5" w:rsidRPr="002152EB">
        <w:rPr>
          <w:rFonts w:asciiTheme="minorHAnsi" w:hAnsiTheme="minorHAnsi"/>
          <w:szCs w:val="22"/>
        </w:rPr>
        <w:t xml:space="preserve"> loan </w:t>
      </w:r>
      <w:r w:rsidR="00105E95" w:rsidRPr="002152EB">
        <w:rPr>
          <w:rFonts w:asciiTheme="minorHAnsi" w:hAnsiTheme="minorHAnsi"/>
          <w:szCs w:val="22"/>
        </w:rPr>
        <w:t xml:space="preserve">approval; </w:t>
      </w:r>
      <w:r w:rsidR="00FF60D5" w:rsidRPr="002152EB">
        <w:rPr>
          <w:rFonts w:asciiTheme="minorHAnsi" w:hAnsiTheme="minorHAnsi"/>
          <w:szCs w:val="22"/>
        </w:rPr>
        <w:t xml:space="preserve">security preparation and registration; </w:t>
      </w:r>
      <w:r w:rsidR="00105E95" w:rsidRPr="002152EB">
        <w:rPr>
          <w:rFonts w:asciiTheme="minorHAnsi" w:hAnsiTheme="minorHAnsi"/>
          <w:szCs w:val="22"/>
        </w:rPr>
        <w:t xml:space="preserve">loan funding; </w:t>
      </w:r>
      <w:r w:rsidR="00FF60D5" w:rsidRPr="002152EB">
        <w:rPr>
          <w:rFonts w:asciiTheme="minorHAnsi" w:hAnsiTheme="minorHAnsi"/>
          <w:szCs w:val="22"/>
        </w:rPr>
        <w:t xml:space="preserve">amendments; annual reviews; security </w:t>
      </w:r>
      <w:r w:rsidR="00105E95" w:rsidRPr="002152EB">
        <w:rPr>
          <w:rFonts w:asciiTheme="minorHAnsi" w:hAnsiTheme="minorHAnsi"/>
          <w:szCs w:val="22"/>
        </w:rPr>
        <w:t>maintenance; collection of arrears</w:t>
      </w:r>
      <w:r w:rsidR="00FF60D5" w:rsidRPr="002152EB">
        <w:rPr>
          <w:rFonts w:asciiTheme="minorHAnsi" w:hAnsiTheme="minorHAnsi"/>
          <w:szCs w:val="22"/>
        </w:rPr>
        <w:t xml:space="preserve"> and special debt management.</w:t>
      </w:r>
    </w:p>
    <w:p w14:paraId="2B26C177" w14:textId="77777777" w:rsidR="00134FB1" w:rsidRPr="002152EB" w:rsidRDefault="00FF60D5" w:rsidP="002152EB">
      <w:pPr>
        <w:spacing w:before="120" w:after="60" w:line="276" w:lineRule="auto"/>
        <w:jc w:val="both"/>
        <w:rPr>
          <w:rFonts w:asciiTheme="minorHAnsi" w:hAnsiTheme="minorHAnsi"/>
          <w:szCs w:val="22"/>
        </w:rPr>
      </w:pPr>
      <w:r w:rsidRPr="002152EB">
        <w:rPr>
          <w:rFonts w:asciiTheme="minorHAnsi" w:hAnsiTheme="minorHAnsi"/>
          <w:szCs w:val="22"/>
        </w:rPr>
        <w:t>Segregation of duties</w:t>
      </w:r>
      <w:r w:rsidR="002911EF" w:rsidRPr="002152EB">
        <w:rPr>
          <w:rFonts w:asciiTheme="minorHAnsi" w:hAnsiTheme="minorHAnsi"/>
          <w:szCs w:val="22"/>
        </w:rPr>
        <w:t xml:space="preserve"> for credit, sales, loan processing and special debts</w:t>
      </w:r>
      <w:r w:rsidRPr="002152EB">
        <w:rPr>
          <w:rFonts w:asciiTheme="minorHAnsi" w:hAnsiTheme="minorHAnsi"/>
          <w:szCs w:val="22"/>
        </w:rPr>
        <w:t xml:space="preserve"> </w:t>
      </w:r>
      <w:r w:rsidR="00134FB1" w:rsidRPr="002152EB">
        <w:rPr>
          <w:rFonts w:asciiTheme="minorHAnsi" w:hAnsiTheme="minorHAnsi"/>
          <w:szCs w:val="22"/>
        </w:rPr>
        <w:t xml:space="preserve">is required to promote independence and integrity of the loan system, where resources are available, and </w:t>
      </w:r>
      <w:r w:rsidR="00527A63" w:rsidRPr="002152EB">
        <w:rPr>
          <w:rFonts w:asciiTheme="minorHAnsi" w:hAnsiTheme="minorHAnsi"/>
          <w:szCs w:val="22"/>
        </w:rPr>
        <w:t>where not available</w:t>
      </w:r>
      <w:r w:rsidR="00134FB1" w:rsidRPr="002152EB">
        <w:rPr>
          <w:rFonts w:asciiTheme="minorHAnsi" w:hAnsiTheme="minorHAnsi"/>
          <w:szCs w:val="22"/>
        </w:rPr>
        <w:t xml:space="preserve"> mitigated by appropriately </w:t>
      </w:r>
      <w:r w:rsidR="00527A63" w:rsidRPr="002152EB">
        <w:rPr>
          <w:rFonts w:asciiTheme="minorHAnsi" w:hAnsiTheme="minorHAnsi"/>
          <w:szCs w:val="22"/>
        </w:rPr>
        <w:t>mitigating and compensating</w:t>
      </w:r>
      <w:r w:rsidR="00134FB1" w:rsidRPr="002152EB">
        <w:rPr>
          <w:rFonts w:asciiTheme="minorHAnsi" w:hAnsiTheme="minorHAnsi"/>
          <w:szCs w:val="22"/>
        </w:rPr>
        <w:t xml:space="preserve"> internal controls.</w:t>
      </w:r>
    </w:p>
    <w:p w14:paraId="08D8CF12" w14:textId="77777777" w:rsidR="00105E95" w:rsidRPr="002152EB" w:rsidRDefault="001F6B03" w:rsidP="002152EB">
      <w:pPr>
        <w:spacing w:before="120" w:after="60" w:line="276" w:lineRule="auto"/>
        <w:jc w:val="both"/>
        <w:rPr>
          <w:rFonts w:asciiTheme="minorHAnsi" w:hAnsiTheme="minorHAnsi"/>
          <w:szCs w:val="22"/>
        </w:rPr>
      </w:pPr>
      <w:r w:rsidRPr="002152EB">
        <w:rPr>
          <w:rFonts w:asciiTheme="minorHAnsi" w:hAnsiTheme="minorHAnsi"/>
          <w:szCs w:val="22"/>
        </w:rPr>
        <w:t>A p</w:t>
      </w:r>
      <w:r w:rsidR="00C944FE" w:rsidRPr="002152EB">
        <w:rPr>
          <w:rFonts w:asciiTheme="minorHAnsi" w:hAnsiTheme="minorHAnsi"/>
          <w:szCs w:val="22"/>
        </w:rPr>
        <w:t xml:space="preserve">re-disbursement </w:t>
      </w:r>
      <w:r w:rsidRPr="002152EB">
        <w:rPr>
          <w:rFonts w:asciiTheme="minorHAnsi" w:hAnsiTheme="minorHAnsi"/>
          <w:szCs w:val="22"/>
        </w:rPr>
        <w:t xml:space="preserve">compliance </w:t>
      </w:r>
      <w:r w:rsidR="00C944FE" w:rsidRPr="002152EB">
        <w:rPr>
          <w:rFonts w:asciiTheme="minorHAnsi" w:hAnsiTheme="minorHAnsi"/>
          <w:szCs w:val="22"/>
        </w:rPr>
        <w:t>audit will be completed prior to advancing funds</w:t>
      </w:r>
      <w:r w:rsidRPr="002152EB">
        <w:rPr>
          <w:rFonts w:asciiTheme="minorHAnsi" w:hAnsiTheme="minorHAnsi"/>
          <w:szCs w:val="22"/>
        </w:rPr>
        <w:t xml:space="preserve"> with any material exceptions authorized prior to funding</w:t>
      </w:r>
      <w:r w:rsidR="00C944FE" w:rsidRPr="002152EB">
        <w:rPr>
          <w:rFonts w:asciiTheme="minorHAnsi" w:hAnsiTheme="minorHAnsi"/>
          <w:szCs w:val="22"/>
        </w:rPr>
        <w:t xml:space="preserve">. </w:t>
      </w:r>
      <w:r w:rsidR="00D35257" w:rsidRPr="002152EB">
        <w:rPr>
          <w:rFonts w:asciiTheme="minorHAnsi" w:hAnsiTheme="minorHAnsi"/>
          <w:szCs w:val="22"/>
        </w:rPr>
        <w:t xml:space="preserve"> </w:t>
      </w:r>
      <w:r w:rsidR="00D935A8" w:rsidRPr="002152EB">
        <w:rPr>
          <w:rFonts w:asciiTheme="minorHAnsi" w:hAnsiTheme="minorHAnsi"/>
          <w:szCs w:val="22"/>
        </w:rPr>
        <w:t>An</w:t>
      </w:r>
      <w:r w:rsidR="00134FB1" w:rsidRPr="002152EB">
        <w:rPr>
          <w:rFonts w:asciiTheme="minorHAnsi" w:hAnsiTheme="minorHAnsi"/>
          <w:szCs w:val="22"/>
        </w:rPr>
        <w:t xml:space="preserve"> out-of-order</w:t>
      </w:r>
      <w:r w:rsidR="00601CE1" w:rsidRPr="002152EB">
        <w:rPr>
          <w:rFonts w:asciiTheme="minorHAnsi" w:hAnsiTheme="minorHAnsi"/>
          <w:szCs w:val="22"/>
        </w:rPr>
        <w:t xml:space="preserve"> report including expired loans, security </w:t>
      </w:r>
      <w:r w:rsidR="00527A63" w:rsidRPr="002152EB">
        <w:rPr>
          <w:rFonts w:asciiTheme="minorHAnsi" w:hAnsiTheme="minorHAnsi"/>
          <w:szCs w:val="22"/>
        </w:rPr>
        <w:t>d</w:t>
      </w:r>
      <w:r w:rsidR="00601CE1" w:rsidRPr="002152EB">
        <w:rPr>
          <w:rFonts w:asciiTheme="minorHAnsi" w:hAnsiTheme="minorHAnsi"/>
          <w:szCs w:val="22"/>
        </w:rPr>
        <w:t xml:space="preserve">eficiencies, </w:t>
      </w:r>
      <w:r w:rsidR="004F410A" w:rsidRPr="002152EB">
        <w:rPr>
          <w:rFonts w:asciiTheme="minorHAnsi" w:hAnsiTheme="minorHAnsi"/>
          <w:szCs w:val="22"/>
        </w:rPr>
        <w:t>and margin</w:t>
      </w:r>
      <w:r w:rsidR="00601CE1" w:rsidRPr="002152EB">
        <w:rPr>
          <w:rFonts w:asciiTheme="minorHAnsi" w:hAnsiTheme="minorHAnsi"/>
          <w:szCs w:val="22"/>
        </w:rPr>
        <w:t xml:space="preserve"> deficiencies is to be maintained, and actioned on a regular basis.</w:t>
      </w:r>
    </w:p>
    <w:p w14:paraId="008C9B0B" w14:textId="77777777" w:rsidR="00343A85" w:rsidRPr="00392020" w:rsidRDefault="00343A85" w:rsidP="00392020">
      <w:pPr>
        <w:pStyle w:val="Heading1"/>
        <w:spacing w:line="276" w:lineRule="auto"/>
      </w:pPr>
      <w:bookmarkStart w:id="49" w:name="_Toc321901238"/>
      <w:bookmarkStart w:id="50" w:name="_Toc507416343"/>
      <w:r w:rsidRPr="00392020">
        <w:t>Annual Reviews</w:t>
      </w:r>
      <w:bookmarkEnd w:id="49"/>
      <w:bookmarkEnd w:id="50"/>
    </w:p>
    <w:p w14:paraId="2D249CA2" w14:textId="77777777" w:rsidR="00074253" w:rsidRPr="007B2CD7" w:rsidRDefault="00F6623A" w:rsidP="007B2CD7">
      <w:pPr>
        <w:pStyle w:val="ListParagraph"/>
        <w:spacing w:before="120" w:after="60" w:line="276" w:lineRule="auto"/>
        <w:ind w:left="0"/>
        <w:jc w:val="both"/>
        <w:rPr>
          <w:rFonts w:asciiTheme="minorHAnsi" w:hAnsiTheme="minorHAnsi"/>
        </w:rPr>
      </w:pPr>
      <w:r w:rsidRPr="007B2CD7">
        <w:rPr>
          <w:rFonts w:asciiTheme="minorHAnsi" w:hAnsiTheme="minorHAnsi"/>
        </w:rPr>
        <w:t>N</w:t>
      </w:r>
      <w:r w:rsidR="00343A85" w:rsidRPr="007B2CD7">
        <w:rPr>
          <w:rFonts w:asciiTheme="minorHAnsi" w:hAnsiTheme="minorHAnsi"/>
        </w:rPr>
        <w:t>on-consumer loan</w:t>
      </w:r>
      <w:r w:rsidRPr="007B2CD7">
        <w:rPr>
          <w:rFonts w:asciiTheme="minorHAnsi" w:hAnsiTheme="minorHAnsi"/>
        </w:rPr>
        <w:t>s</w:t>
      </w:r>
      <w:r w:rsidR="00343A85" w:rsidRPr="007B2CD7">
        <w:rPr>
          <w:rFonts w:asciiTheme="minorHAnsi" w:hAnsiTheme="minorHAnsi"/>
        </w:rPr>
        <w:t xml:space="preserve"> will be subject to an annual review in a format commensurate with the risk of the individual exposure. </w:t>
      </w:r>
      <w:r w:rsidRPr="007B2CD7">
        <w:rPr>
          <w:rFonts w:asciiTheme="minorHAnsi" w:hAnsiTheme="minorHAnsi"/>
        </w:rPr>
        <w:t xml:space="preserve">Exemptions may be approved by the appropriate exception authority level. </w:t>
      </w:r>
      <w:r w:rsidR="00A65774" w:rsidRPr="007B2CD7">
        <w:rPr>
          <w:rFonts w:asciiTheme="minorHAnsi" w:hAnsiTheme="minorHAnsi"/>
        </w:rPr>
        <w:t>C</w:t>
      </w:r>
      <w:r w:rsidR="001E5026" w:rsidRPr="007B2CD7">
        <w:rPr>
          <w:rFonts w:asciiTheme="minorHAnsi" w:hAnsiTheme="minorHAnsi"/>
        </w:rPr>
        <w:t>ommercial l</w:t>
      </w:r>
      <w:r w:rsidR="00F37979" w:rsidRPr="007B2CD7">
        <w:rPr>
          <w:rFonts w:asciiTheme="minorHAnsi" w:hAnsiTheme="minorHAnsi"/>
        </w:rPr>
        <w:t xml:space="preserve">oan </w:t>
      </w:r>
      <w:r w:rsidR="00074253" w:rsidRPr="007B2CD7">
        <w:rPr>
          <w:rFonts w:asciiTheme="minorHAnsi" w:hAnsiTheme="minorHAnsi"/>
        </w:rPr>
        <w:t xml:space="preserve">agreements </w:t>
      </w:r>
      <w:r w:rsidR="003860C7" w:rsidRPr="007B2CD7">
        <w:rPr>
          <w:rFonts w:asciiTheme="minorHAnsi" w:hAnsiTheme="minorHAnsi"/>
        </w:rPr>
        <w:t>will</w:t>
      </w:r>
      <w:r w:rsidR="00074253" w:rsidRPr="007B2CD7">
        <w:rPr>
          <w:rFonts w:asciiTheme="minorHAnsi" w:hAnsiTheme="minorHAnsi"/>
        </w:rPr>
        <w:t xml:space="preserve"> include appropriate conditions for an annual review, including provision of updated financial statements and covenant compl</w:t>
      </w:r>
      <w:r w:rsidRPr="007B2CD7">
        <w:rPr>
          <w:rFonts w:asciiTheme="minorHAnsi" w:hAnsiTheme="minorHAnsi"/>
        </w:rPr>
        <w:t>iance.</w:t>
      </w:r>
    </w:p>
    <w:p w14:paraId="7099D010" w14:textId="77777777" w:rsidR="00343A85" w:rsidRPr="007B2CD7" w:rsidRDefault="00343A85" w:rsidP="007B2CD7">
      <w:pPr>
        <w:spacing w:before="120" w:after="60" w:line="276" w:lineRule="auto"/>
        <w:contextualSpacing/>
        <w:jc w:val="both"/>
        <w:rPr>
          <w:rFonts w:asciiTheme="minorHAnsi" w:hAnsiTheme="minorHAnsi"/>
          <w:szCs w:val="22"/>
        </w:rPr>
      </w:pPr>
      <w:r w:rsidRPr="007B2CD7">
        <w:rPr>
          <w:rFonts w:asciiTheme="minorHAnsi" w:hAnsiTheme="minorHAnsi"/>
          <w:szCs w:val="22"/>
        </w:rPr>
        <w:t xml:space="preserve">Minimum </w:t>
      </w:r>
      <w:r w:rsidR="00D57204" w:rsidRPr="007B2CD7">
        <w:rPr>
          <w:rFonts w:asciiTheme="minorHAnsi" w:hAnsiTheme="minorHAnsi"/>
          <w:szCs w:val="22"/>
        </w:rPr>
        <w:t xml:space="preserve">annual review </w:t>
      </w:r>
      <w:r w:rsidRPr="007B2CD7">
        <w:rPr>
          <w:rFonts w:asciiTheme="minorHAnsi" w:hAnsiTheme="minorHAnsi"/>
          <w:szCs w:val="22"/>
        </w:rPr>
        <w:t xml:space="preserve">requirements </w:t>
      </w:r>
      <w:r w:rsidR="00F6623A" w:rsidRPr="007B2CD7">
        <w:rPr>
          <w:rFonts w:asciiTheme="minorHAnsi" w:hAnsiTheme="minorHAnsi"/>
          <w:szCs w:val="22"/>
        </w:rPr>
        <w:t xml:space="preserve">typically </w:t>
      </w:r>
      <w:r w:rsidRPr="007B2CD7">
        <w:rPr>
          <w:rFonts w:asciiTheme="minorHAnsi" w:hAnsiTheme="minorHAnsi"/>
          <w:szCs w:val="22"/>
        </w:rPr>
        <w:t>include:</w:t>
      </w:r>
    </w:p>
    <w:p w14:paraId="57CFD9A7" w14:textId="77777777" w:rsidR="00343A85" w:rsidRPr="007B2CD7" w:rsidRDefault="00D57204" w:rsidP="007B2CD7">
      <w:pPr>
        <w:pStyle w:val="ListParagraph"/>
        <w:numPr>
          <w:ilvl w:val="0"/>
          <w:numId w:val="2"/>
        </w:numPr>
        <w:spacing w:before="120" w:after="60" w:line="276" w:lineRule="auto"/>
        <w:ind w:left="360" w:hanging="270"/>
        <w:jc w:val="both"/>
        <w:rPr>
          <w:rFonts w:asciiTheme="minorHAnsi" w:hAnsiTheme="minorHAnsi"/>
        </w:rPr>
      </w:pPr>
      <w:r w:rsidRPr="007B2CD7">
        <w:rPr>
          <w:rFonts w:asciiTheme="minorHAnsi" w:hAnsiTheme="minorHAnsi"/>
        </w:rPr>
        <w:t>Full review of c</w:t>
      </w:r>
      <w:r w:rsidR="007B2CD7">
        <w:rPr>
          <w:rFonts w:asciiTheme="minorHAnsi" w:hAnsiTheme="minorHAnsi"/>
        </w:rPr>
        <w:t>orporate financial statements</w:t>
      </w:r>
    </w:p>
    <w:p w14:paraId="5BDDCA30" w14:textId="77777777" w:rsidR="00DA6B32" w:rsidRPr="007B2CD7" w:rsidRDefault="00D57204" w:rsidP="007B2CD7">
      <w:pPr>
        <w:pStyle w:val="ListParagraph"/>
        <w:numPr>
          <w:ilvl w:val="0"/>
          <w:numId w:val="2"/>
        </w:numPr>
        <w:spacing w:before="120" w:after="60" w:line="276" w:lineRule="auto"/>
        <w:ind w:left="360" w:hanging="270"/>
        <w:jc w:val="both"/>
        <w:rPr>
          <w:rFonts w:asciiTheme="minorHAnsi" w:hAnsiTheme="minorHAnsi"/>
        </w:rPr>
      </w:pPr>
      <w:r w:rsidRPr="007B2CD7">
        <w:rPr>
          <w:rFonts w:asciiTheme="minorHAnsi" w:hAnsiTheme="minorHAnsi"/>
        </w:rPr>
        <w:t xml:space="preserve">Full </w:t>
      </w:r>
      <w:r w:rsidR="007B2CD7">
        <w:rPr>
          <w:rFonts w:asciiTheme="minorHAnsi" w:hAnsiTheme="minorHAnsi"/>
        </w:rPr>
        <w:t>review for covenant compliance</w:t>
      </w:r>
    </w:p>
    <w:p w14:paraId="66A26A34" w14:textId="77777777" w:rsidR="00D57204" w:rsidRPr="007B2CD7" w:rsidRDefault="007B2CD7" w:rsidP="007B2CD7">
      <w:pPr>
        <w:pStyle w:val="ListParagraph"/>
        <w:numPr>
          <w:ilvl w:val="0"/>
          <w:numId w:val="2"/>
        </w:numPr>
        <w:spacing w:before="120" w:after="60" w:line="276" w:lineRule="auto"/>
        <w:ind w:left="360" w:hanging="270"/>
        <w:jc w:val="both"/>
        <w:rPr>
          <w:rFonts w:asciiTheme="minorHAnsi" w:hAnsiTheme="minorHAnsi"/>
        </w:rPr>
      </w:pPr>
      <w:r>
        <w:rPr>
          <w:rFonts w:asciiTheme="minorHAnsi" w:hAnsiTheme="minorHAnsi"/>
        </w:rPr>
        <w:t>Updated BRR worksheet</w:t>
      </w:r>
    </w:p>
    <w:p w14:paraId="7FD133C3" w14:textId="77777777" w:rsidR="00343A85" w:rsidRPr="007B2CD7" w:rsidRDefault="00DA6B32" w:rsidP="007B2CD7">
      <w:pPr>
        <w:pStyle w:val="ListParagraph"/>
        <w:numPr>
          <w:ilvl w:val="0"/>
          <w:numId w:val="2"/>
        </w:numPr>
        <w:spacing w:before="120" w:after="60" w:line="276" w:lineRule="auto"/>
        <w:ind w:left="360" w:hanging="270"/>
        <w:jc w:val="both"/>
        <w:rPr>
          <w:rFonts w:asciiTheme="minorHAnsi" w:hAnsiTheme="minorHAnsi"/>
        </w:rPr>
      </w:pPr>
      <w:r w:rsidRPr="007B2CD7">
        <w:rPr>
          <w:rFonts w:asciiTheme="minorHAnsi" w:hAnsiTheme="minorHAnsi"/>
        </w:rPr>
        <w:lastRenderedPageBreak/>
        <w:t>Members who have been provided</w:t>
      </w:r>
      <w:r w:rsidR="00343A85" w:rsidRPr="007B2CD7">
        <w:rPr>
          <w:rFonts w:asciiTheme="minorHAnsi" w:hAnsiTheme="minorHAnsi"/>
        </w:rPr>
        <w:t xml:space="preserve"> inventory financing </w:t>
      </w:r>
      <w:r w:rsidR="003860C7" w:rsidRPr="007B2CD7">
        <w:rPr>
          <w:rFonts w:asciiTheme="minorHAnsi" w:hAnsiTheme="minorHAnsi"/>
        </w:rPr>
        <w:t>will</w:t>
      </w:r>
      <w:r w:rsidR="00343A85" w:rsidRPr="007B2CD7">
        <w:rPr>
          <w:rFonts w:asciiTheme="minorHAnsi" w:hAnsiTheme="minorHAnsi"/>
        </w:rPr>
        <w:t xml:space="preserve"> be subject to a</w:t>
      </w:r>
      <w:r w:rsidR="00074253" w:rsidRPr="007B2CD7">
        <w:rPr>
          <w:rFonts w:asciiTheme="minorHAnsi" w:hAnsiTheme="minorHAnsi"/>
        </w:rPr>
        <w:t>t a</w:t>
      </w:r>
      <w:r w:rsidR="00601CE1" w:rsidRPr="007B2CD7">
        <w:rPr>
          <w:rFonts w:asciiTheme="minorHAnsi" w:hAnsiTheme="minorHAnsi"/>
        </w:rPr>
        <w:t xml:space="preserve"> minimum</w:t>
      </w:r>
      <w:r w:rsidR="00074253" w:rsidRPr="007B2CD7">
        <w:rPr>
          <w:rFonts w:asciiTheme="minorHAnsi" w:hAnsiTheme="minorHAnsi"/>
        </w:rPr>
        <w:t>, an</w:t>
      </w:r>
      <w:r w:rsidR="00601CE1" w:rsidRPr="007B2CD7">
        <w:rPr>
          <w:rFonts w:asciiTheme="minorHAnsi" w:hAnsiTheme="minorHAnsi"/>
        </w:rPr>
        <w:t xml:space="preserve"> annual on-site review</w:t>
      </w:r>
      <w:r w:rsidR="00D57204" w:rsidRPr="007B2CD7">
        <w:rPr>
          <w:rFonts w:asciiTheme="minorHAnsi" w:hAnsiTheme="minorHAnsi"/>
        </w:rPr>
        <w:t>.</w:t>
      </w:r>
    </w:p>
    <w:p w14:paraId="17BBCF1B" w14:textId="77777777" w:rsidR="00026276" w:rsidRPr="00392020" w:rsidRDefault="00026276" w:rsidP="00392020">
      <w:pPr>
        <w:pStyle w:val="Heading1"/>
        <w:spacing w:line="276" w:lineRule="auto"/>
      </w:pPr>
      <w:bookmarkStart w:id="51" w:name="_Toc321901239"/>
      <w:bookmarkStart w:id="52" w:name="_Toc507416344"/>
      <w:r w:rsidRPr="00392020">
        <w:t>Delinquent Loan Management</w:t>
      </w:r>
      <w:bookmarkEnd w:id="51"/>
      <w:bookmarkEnd w:id="52"/>
    </w:p>
    <w:p w14:paraId="1B04FDAD" w14:textId="77777777" w:rsidR="001A3F2E" w:rsidRPr="007B2CD7" w:rsidRDefault="00026276"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 xml:space="preserve">Management will </w:t>
      </w:r>
      <w:r w:rsidR="00F37979" w:rsidRPr="007B2CD7">
        <w:rPr>
          <w:rFonts w:asciiTheme="minorHAnsi" w:hAnsiTheme="minorHAnsi"/>
        </w:rPr>
        <w:t xml:space="preserve">establish a </w:t>
      </w:r>
      <w:r w:rsidR="001A3F2E" w:rsidRPr="007B2CD7">
        <w:rPr>
          <w:rFonts w:asciiTheme="minorHAnsi" w:hAnsiTheme="minorHAnsi"/>
        </w:rPr>
        <w:t xml:space="preserve">collections operating policy </w:t>
      </w:r>
      <w:r w:rsidRPr="007B2CD7">
        <w:rPr>
          <w:rFonts w:asciiTheme="minorHAnsi" w:hAnsiTheme="minorHAnsi"/>
        </w:rPr>
        <w:t>support</w:t>
      </w:r>
      <w:r w:rsidR="00F37979" w:rsidRPr="007B2CD7">
        <w:rPr>
          <w:rFonts w:asciiTheme="minorHAnsi" w:hAnsiTheme="minorHAnsi"/>
        </w:rPr>
        <w:t>ing</w:t>
      </w:r>
      <w:r w:rsidRPr="007B2CD7">
        <w:rPr>
          <w:rFonts w:asciiTheme="minorHAnsi" w:hAnsiTheme="minorHAnsi"/>
        </w:rPr>
        <w:t xml:space="preserve"> a robust delinquen</w:t>
      </w:r>
      <w:r w:rsidR="00D57204" w:rsidRPr="007B2CD7">
        <w:rPr>
          <w:rFonts w:asciiTheme="minorHAnsi" w:hAnsiTheme="minorHAnsi"/>
        </w:rPr>
        <w:t>cy</w:t>
      </w:r>
      <w:r w:rsidRPr="007B2CD7">
        <w:rPr>
          <w:rFonts w:asciiTheme="minorHAnsi" w:hAnsiTheme="minorHAnsi"/>
        </w:rPr>
        <w:t xml:space="preserve"> management program to reduce potential losses from delinquent loans.</w:t>
      </w:r>
      <w:r w:rsidR="00F37979" w:rsidRPr="007B2CD7">
        <w:rPr>
          <w:rFonts w:asciiTheme="minorHAnsi" w:hAnsiTheme="minorHAnsi"/>
        </w:rPr>
        <w:t xml:space="preserve"> Collection activity should elevate from the Line of Business to Credit and subsequently to Special Debts based on the age of the delinquency</w:t>
      </w:r>
      <w:r w:rsidR="007D26DE" w:rsidRPr="007B2CD7">
        <w:rPr>
          <w:rFonts w:asciiTheme="minorHAnsi" w:hAnsiTheme="minorHAnsi"/>
        </w:rPr>
        <w:t>, exposure amount or requirement for special handling to mitigate losses.</w:t>
      </w:r>
    </w:p>
    <w:p w14:paraId="29849889" w14:textId="77777777" w:rsidR="00026276" w:rsidRPr="007B2CD7" w:rsidRDefault="00BF488F"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 xml:space="preserve">A Notice of Default should be issued to the borrower and guarantors when </w:t>
      </w:r>
      <w:r w:rsidR="00E73DE2" w:rsidRPr="007B2CD7">
        <w:rPr>
          <w:rFonts w:asciiTheme="minorHAnsi" w:hAnsiTheme="minorHAnsi"/>
        </w:rPr>
        <w:t>a</w:t>
      </w:r>
      <w:r w:rsidRPr="007B2CD7">
        <w:rPr>
          <w:rFonts w:asciiTheme="minorHAnsi" w:hAnsiTheme="minorHAnsi"/>
        </w:rPr>
        <w:t xml:space="preserve"> default is material or when arrears exceed 90-days, unless an exception is approved by the “</w:t>
      </w:r>
      <w:r w:rsidRPr="007B2CD7">
        <w:rPr>
          <w:rFonts w:asciiTheme="minorHAnsi" w:hAnsiTheme="minorHAnsi"/>
          <w:color w:val="2E74B5"/>
        </w:rPr>
        <w:t>Vice President Credit”</w:t>
      </w:r>
      <w:r w:rsidRPr="007B2CD7">
        <w:rPr>
          <w:rFonts w:asciiTheme="minorHAnsi" w:hAnsiTheme="minorHAnsi"/>
        </w:rPr>
        <w:t>.</w:t>
      </w:r>
      <w:r w:rsidR="00026276" w:rsidRPr="007B2CD7">
        <w:rPr>
          <w:rFonts w:asciiTheme="minorHAnsi" w:hAnsiTheme="minorHAnsi"/>
        </w:rPr>
        <w:t xml:space="preserve"> </w:t>
      </w:r>
      <w:r w:rsidR="00D57204" w:rsidRPr="007B2CD7">
        <w:rPr>
          <w:rFonts w:asciiTheme="minorHAnsi" w:hAnsiTheme="minorHAnsi"/>
        </w:rPr>
        <w:t xml:space="preserve">Delinquency ratios </w:t>
      </w:r>
      <w:r w:rsidR="007D26DE" w:rsidRPr="007B2CD7">
        <w:rPr>
          <w:rFonts w:asciiTheme="minorHAnsi" w:hAnsiTheme="minorHAnsi"/>
        </w:rPr>
        <w:t xml:space="preserve">and trends </w:t>
      </w:r>
      <w:r w:rsidR="00D57204" w:rsidRPr="007B2CD7">
        <w:rPr>
          <w:rFonts w:asciiTheme="minorHAnsi" w:hAnsiTheme="minorHAnsi"/>
        </w:rPr>
        <w:t xml:space="preserve">will be monitored relative to approved tolerance levels reported </w:t>
      </w:r>
      <w:r w:rsidR="00026276" w:rsidRPr="007B2CD7">
        <w:rPr>
          <w:rFonts w:asciiTheme="minorHAnsi" w:hAnsiTheme="minorHAnsi"/>
        </w:rPr>
        <w:t>monthly</w:t>
      </w:r>
      <w:r w:rsidR="00D57204" w:rsidRPr="007B2CD7">
        <w:rPr>
          <w:rFonts w:asciiTheme="minorHAnsi" w:hAnsiTheme="minorHAnsi"/>
        </w:rPr>
        <w:t xml:space="preserve"> </w:t>
      </w:r>
      <w:r w:rsidR="00F8450B" w:rsidRPr="007B2CD7">
        <w:rPr>
          <w:rFonts w:asciiTheme="minorHAnsi" w:hAnsiTheme="minorHAnsi"/>
        </w:rPr>
        <w:t>to</w:t>
      </w:r>
      <w:r w:rsidR="00026276" w:rsidRPr="007B2CD7">
        <w:rPr>
          <w:rFonts w:asciiTheme="minorHAnsi" w:hAnsiTheme="minorHAnsi"/>
        </w:rPr>
        <w:t xml:space="preserve"> Senior Management and quarterly </w:t>
      </w:r>
      <w:r w:rsidR="00F8450B" w:rsidRPr="007B2CD7">
        <w:rPr>
          <w:rFonts w:asciiTheme="minorHAnsi" w:hAnsiTheme="minorHAnsi"/>
        </w:rPr>
        <w:t>to</w:t>
      </w:r>
      <w:r w:rsidR="00026276" w:rsidRPr="007B2CD7">
        <w:rPr>
          <w:rFonts w:asciiTheme="minorHAnsi" w:hAnsiTheme="minorHAnsi"/>
        </w:rPr>
        <w:t xml:space="preserve"> the </w:t>
      </w:r>
      <w:r w:rsidR="004F410A" w:rsidRPr="007B2CD7">
        <w:rPr>
          <w:rFonts w:asciiTheme="minorHAnsi" w:hAnsiTheme="minorHAnsi"/>
        </w:rPr>
        <w:t xml:space="preserve">Board (Risk) </w:t>
      </w:r>
      <w:r w:rsidR="007B2CD7">
        <w:rPr>
          <w:rFonts w:asciiTheme="minorHAnsi" w:hAnsiTheme="minorHAnsi"/>
        </w:rPr>
        <w:t>Committee.</w:t>
      </w:r>
    </w:p>
    <w:p w14:paraId="5EDC8C92" w14:textId="77777777" w:rsidR="00026276" w:rsidRPr="00392020" w:rsidRDefault="00C65BD5" w:rsidP="00392020">
      <w:pPr>
        <w:pStyle w:val="Heading1"/>
        <w:spacing w:line="276" w:lineRule="auto"/>
      </w:pPr>
      <w:bookmarkStart w:id="53" w:name="_Toc321901240"/>
      <w:bookmarkStart w:id="54" w:name="_Toc507416345"/>
      <w:r w:rsidRPr="00392020">
        <w:t>Impaired Loan M</w:t>
      </w:r>
      <w:r w:rsidR="00026276" w:rsidRPr="00392020">
        <w:t>anagement</w:t>
      </w:r>
      <w:bookmarkEnd w:id="53"/>
      <w:bookmarkEnd w:id="54"/>
    </w:p>
    <w:p w14:paraId="4E099DD9" w14:textId="77777777" w:rsidR="00026276" w:rsidRPr="007B2CD7" w:rsidRDefault="00026276" w:rsidP="007B2CD7">
      <w:pPr>
        <w:pStyle w:val="ListParagraph"/>
        <w:spacing w:before="120" w:after="60" w:line="276" w:lineRule="auto"/>
        <w:ind w:left="0"/>
        <w:jc w:val="both"/>
        <w:rPr>
          <w:rFonts w:asciiTheme="minorHAnsi" w:hAnsiTheme="minorHAnsi"/>
        </w:rPr>
      </w:pPr>
      <w:r w:rsidRPr="007B2CD7">
        <w:rPr>
          <w:rFonts w:asciiTheme="minorHAnsi" w:hAnsiTheme="minorHAnsi"/>
        </w:rPr>
        <w:t>Loans will be transferred to impaired status</w:t>
      </w:r>
      <w:r w:rsidR="001A3F2E" w:rsidRPr="007B2CD7">
        <w:rPr>
          <w:rFonts w:asciiTheme="minorHAnsi" w:hAnsiTheme="minorHAnsi"/>
        </w:rPr>
        <w:t xml:space="preserve"> consistent with IFRS 9 standards,</w:t>
      </w:r>
      <w:r w:rsidRPr="007B2CD7">
        <w:rPr>
          <w:rFonts w:asciiTheme="minorHAnsi" w:hAnsiTheme="minorHAnsi"/>
        </w:rPr>
        <w:t xml:space="preserve"> </w:t>
      </w:r>
      <w:r w:rsidR="007F7BAD" w:rsidRPr="007B2CD7">
        <w:rPr>
          <w:rFonts w:asciiTheme="minorHAnsi" w:hAnsiTheme="minorHAnsi"/>
        </w:rPr>
        <w:t xml:space="preserve">based on the occurrence of </w:t>
      </w:r>
      <w:r w:rsidRPr="007B2CD7">
        <w:rPr>
          <w:rFonts w:asciiTheme="minorHAnsi" w:hAnsiTheme="minorHAnsi"/>
        </w:rPr>
        <w:t xml:space="preserve">one of the following </w:t>
      </w:r>
      <w:r w:rsidR="007F7BAD" w:rsidRPr="007B2CD7">
        <w:rPr>
          <w:rFonts w:asciiTheme="minorHAnsi" w:hAnsiTheme="minorHAnsi"/>
        </w:rPr>
        <w:t>events</w:t>
      </w:r>
      <w:r w:rsidR="00E73DE2" w:rsidRPr="007B2CD7">
        <w:rPr>
          <w:rFonts w:asciiTheme="minorHAnsi" w:hAnsiTheme="minorHAnsi"/>
        </w:rPr>
        <w:t>,</w:t>
      </w:r>
      <w:r w:rsidR="001A3F2E" w:rsidRPr="007B2CD7">
        <w:rPr>
          <w:rFonts w:asciiTheme="minorHAnsi" w:hAnsiTheme="minorHAnsi"/>
        </w:rPr>
        <w:t xml:space="preserve"> where there is a significant impact on expected repayment</w:t>
      </w:r>
      <w:r w:rsidR="001F6B03" w:rsidRPr="007B2CD7">
        <w:rPr>
          <w:rFonts w:asciiTheme="minorHAnsi" w:hAnsiTheme="minorHAnsi"/>
        </w:rPr>
        <w:t>:</w:t>
      </w:r>
    </w:p>
    <w:p w14:paraId="61F95B62" w14:textId="77777777" w:rsidR="00A15478" w:rsidRPr="007B2CD7" w:rsidRDefault="00A15478" w:rsidP="007B2CD7">
      <w:pPr>
        <w:pStyle w:val="ListParagraph"/>
        <w:numPr>
          <w:ilvl w:val="0"/>
          <w:numId w:val="26"/>
        </w:numPr>
        <w:spacing w:before="120" w:after="60" w:line="276" w:lineRule="auto"/>
        <w:rPr>
          <w:rFonts w:asciiTheme="minorHAnsi" w:hAnsiTheme="minorHAnsi"/>
        </w:rPr>
      </w:pPr>
      <w:r w:rsidRPr="007B2CD7">
        <w:rPr>
          <w:rFonts w:asciiTheme="minorHAnsi" w:hAnsiTheme="minorHAnsi"/>
        </w:rPr>
        <w:t>“Significant” financial difficulty</w:t>
      </w:r>
    </w:p>
    <w:p w14:paraId="3633985E" w14:textId="77777777" w:rsidR="00A15478" w:rsidRPr="007B2CD7" w:rsidRDefault="00A15478" w:rsidP="007B2CD7">
      <w:pPr>
        <w:pStyle w:val="ListParagraph"/>
        <w:numPr>
          <w:ilvl w:val="0"/>
          <w:numId w:val="26"/>
        </w:numPr>
        <w:spacing w:before="120" w:after="60" w:line="276" w:lineRule="auto"/>
        <w:rPr>
          <w:rFonts w:asciiTheme="minorHAnsi" w:hAnsiTheme="minorHAnsi"/>
        </w:rPr>
      </w:pPr>
      <w:r w:rsidRPr="007B2CD7">
        <w:rPr>
          <w:rFonts w:asciiTheme="minorHAnsi" w:hAnsiTheme="minorHAnsi"/>
        </w:rPr>
        <w:t>Breach of contract, including principal or interest delinquency</w:t>
      </w:r>
      <w:r w:rsidR="005D1776" w:rsidRPr="007B2CD7">
        <w:rPr>
          <w:rFonts w:asciiTheme="minorHAnsi" w:hAnsiTheme="minorHAnsi"/>
        </w:rPr>
        <w:t xml:space="preserve"> 90-days or more in arears (Specialized financial instruments, such as Conditional Sales Contracts will be considered in default at 60-days in arrears).</w:t>
      </w:r>
    </w:p>
    <w:p w14:paraId="746918D9" w14:textId="77777777" w:rsidR="00A15478" w:rsidRPr="007B2CD7" w:rsidRDefault="00A15478" w:rsidP="007B2CD7">
      <w:pPr>
        <w:pStyle w:val="ListParagraph"/>
        <w:numPr>
          <w:ilvl w:val="0"/>
          <w:numId w:val="26"/>
        </w:numPr>
        <w:spacing w:before="120" w:after="60" w:line="276" w:lineRule="auto"/>
        <w:rPr>
          <w:rFonts w:asciiTheme="minorHAnsi" w:hAnsiTheme="minorHAnsi"/>
        </w:rPr>
      </w:pPr>
      <w:r w:rsidRPr="007B2CD7">
        <w:rPr>
          <w:rFonts w:asciiTheme="minorHAnsi" w:hAnsiTheme="minorHAnsi"/>
        </w:rPr>
        <w:t>Lender granting a concession that would otherwise have not been granted, other than due to financial difficulty</w:t>
      </w:r>
    </w:p>
    <w:p w14:paraId="7EEB40B4" w14:textId="77777777" w:rsidR="00A15478" w:rsidRPr="007B2CD7" w:rsidRDefault="00A15478" w:rsidP="007B2CD7">
      <w:pPr>
        <w:pStyle w:val="ListParagraph"/>
        <w:numPr>
          <w:ilvl w:val="0"/>
          <w:numId w:val="26"/>
        </w:numPr>
        <w:spacing w:before="120" w:after="60" w:line="276" w:lineRule="auto"/>
        <w:rPr>
          <w:rFonts w:asciiTheme="minorHAnsi" w:hAnsiTheme="minorHAnsi"/>
        </w:rPr>
      </w:pPr>
      <w:r w:rsidRPr="007B2CD7">
        <w:rPr>
          <w:rFonts w:asciiTheme="minorHAnsi" w:hAnsiTheme="minorHAnsi"/>
        </w:rPr>
        <w:t>Probability of bankruptcy or financial reorganization</w:t>
      </w:r>
    </w:p>
    <w:p w14:paraId="221E2D9B" w14:textId="77777777" w:rsidR="00A15478" w:rsidRPr="007B2CD7" w:rsidRDefault="00A15478" w:rsidP="007B2CD7">
      <w:pPr>
        <w:pStyle w:val="ListParagraph"/>
        <w:numPr>
          <w:ilvl w:val="0"/>
          <w:numId w:val="26"/>
        </w:numPr>
        <w:spacing w:before="120" w:after="60" w:line="276" w:lineRule="auto"/>
        <w:rPr>
          <w:rFonts w:asciiTheme="minorHAnsi" w:hAnsiTheme="minorHAnsi"/>
        </w:rPr>
      </w:pPr>
      <w:r w:rsidRPr="007B2CD7">
        <w:rPr>
          <w:rFonts w:asciiTheme="minorHAnsi" w:hAnsiTheme="minorHAnsi"/>
        </w:rPr>
        <w:t>Disappearance of an active market for a financial asset because of financial difficulties or</w:t>
      </w:r>
    </w:p>
    <w:p w14:paraId="7AC862A8" w14:textId="77777777" w:rsidR="00A15478" w:rsidRPr="007B2CD7" w:rsidRDefault="00A15478" w:rsidP="007B2CD7">
      <w:pPr>
        <w:pStyle w:val="ListParagraph"/>
        <w:numPr>
          <w:ilvl w:val="0"/>
          <w:numId w:val="26"/>
        </w:numPr>
        <w:spacing w:before="120" w:after="60" w:line="276" w:lineRule="auto"/>
        <w:rPr>
          <w:rFonts w:asciiTheme="minorHAnsi" w:hAnsiTheme="minorHAnsi"/>
        </w:rPr>
      </w:pPr>
      <w:r w:rsidRPr="007B2CD7">
        <w:rPr>
          <w:rFonts w:asciiTheme="minorHAnsi" w:hAnsiTheme="minorHAnsi"/>
        </w:rPr>
        <w:t>Observable data supporting a measurable decrease in estimated future cash flows from a group of financial assets.</w:t>
      </w:r>
    </w:p>
    <w:p w14:paraId="747DAE94" w14:textId="77777777" w:rsidR="00A15478" w:rsidRPr="007B2CD7" w:rsidRDefault="00A15478" w:rsidP="007B2CD7">
      <w:pPr>
        <w:pStyle w:val="ListParagraph"/>
        <w:spacing w:before="120" w:after="60" w:line="276" w:lineRule="auto"/>
        <w:ind w:left="0"/>
        <w:jc w:val="both"/>
        <w:rPr>
          <w:rFonts w:asciiTheme="minorHAnsi" w:hAnsiTheme="minorHAnsi"/>
          <w:u w:val="single"/>
        </w:rPr>
      </w:pPr>
      <w:r w:rsidRPr="007B2CD7">
        <w:rPr>
          <w:rFonts w:asciiTheme="minorHAnsi" w:hAnsiTheme="minorHAnsi"/>
          <w:u w:val="single"/>
        </w:rPr>
        <w:t>AND</w:t>
      </w:r>
    </w:p>
    <w:p w14:paraId="149F652B" w14:textId="77777777" w:rsidR="00A15478" w:rsidRPr="007B2CD7" w:rsidRDefault="00A15478"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 xml:space="preserve">There is objective evidence that an impairment loss </w:t>
      </w:r>
      <w:r w:rsidR="00C1606C" w:rsidRPr="007B2CD7">
        <w:rPr>
          <w:rFonts w:asciiTheme="minorHAnsi" w:hAnsiTheme="minorHAnsi"/>
        </w:rPr>
        <w:t>is expected</w:t>
      </w:r>
      <w:r w:rsidRPr="007B2CD7">
        <w:rPr>
          <w:rFonts w:asciiTheme="minorHAnsi" w:hAnsiTheme="minorHAnsi"/>
        </w:rPr>
        <w:t xml:space="preserve">, based on the difference between the book value and the net present value of future </w:t>
      </w:r>
      <w:r w:rsidR="00C1606C" w:rsidRPr="007B2CD7">
        <w:rPr>
          <w:rFonts w:asciiTheme="minorHAnsi" w:hAnsiTheme="minorHAnsi"/>
        </w:rPr>
        <w:t>recoveries</w:t>
      </w:r>
      <w:r w:rsidRPr="007B2CD7">
        <w:rPr>
          <w:rFonts w:asciiTheme="minorHAnsi" w:hAnsiTheme="minorHAnsi"/>
        </w:rPr>
        <w:t>.</w:t>
      </w:r>
    </w:p>
    <w:p w14:paraId="41F8F0C6" w14:textId="77777777" w:rsidR="00026276" w:rsidRPr="007B2CD7" w:rsidRDefault="004E648C"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 xml:space="preserve">Senior </w:t>
      </w:r>
      <w:r w:rsidR="00026276" w:rsidRPr="007B2CD7">
        <w:rPr>
          <w:rFonts w:asciiTheme="minorHAnsi" w:hAnsiTheme="minorHAnsi"/>
        </w:rPr>
        <w:t xml:space="preserve">Management will develop </w:t>
      </w:r>
      <w:r w:rsidR="00F8450B" w:rsidRPr="007B2CD7">
        <w:rPr>
          <w:rFonts w:asciiTheme="minorHAnsi" w:hAnsiTheme="minorHAnsi"/>
        </w:rPr>
        <w:t>a process to review and report i</w:t>
      </w:r>
      <w:r w:rsidR="00026276" w:rsidRPr="007B2CD7">
        <w:rPr>
          <w:rFonts w:asciiTheme="minorHAnsi" w:hAnsiTheme="minorHAnsi"/>
        </w:rPr>
        <w:t>mpaired loan activity</w:t>
      </w:r>
      <w:r w:rsidRPr="007B2CD7">
        <w:rPr>
          <w:rFonts w:asciiTheme="minorHAnsi" w:hAnsiTheme="minorHAnsi"/>
        </w:rPr>
        <w:t>, including updated provisions</w:t>
      </w:r>
      <w:r w:rsidR="00026276" w:rsidRPr="007B2CD7">
        <w:rPr>
          <w:rFonts w:asciiTheme="minorHAnsi" w:hAnsiTheme="minorHAnsi"/>
        </w:rPr>
        <w:t xml:space="preserve"> to the Management </w:t>
      </w:r>
      <w:r w:rsidR="00463FF3" w:rsidRPr="007B2CD7">
        <w:rPr>
          <w:rFonts w:asciiTheme="minorHAnsi" w:hAnsiTheme="minorHAnsi"/>
        </w:rPr>
        <w:t xml:space="preserve">Credit </w:t>
      </w:r>
      <w:r w:rsidR="00FF4AAF" w:rsidRPr="007B2CD7">
        <w:rPr>
          <w:rFonts w:asciiTheme="minorHAnsi" w:hAnsiTheme="minorHAnsi"/>
        </w:rPr>
        <w:t xml:space="preserve">(Special Debts) </w:t>
      </w:r>
      <w:r w:rsidR="00026276" w:rsidRPr="007B2CD7">
        <w:rPr>
          <w:rFonts w:asciiTheme="minorHAnsi" w:hAnsiTheme="minorHAnsi"/>
        </w:rPr>
        <w:t xml:space="preserve">Committee </w:t>
      </w:r>
      <w:r w:rsidR="00FF4AAF" w:rsidRPr="007B2CD7">
        <w:rPr>
          <w:rFonts w:asciiTheme="minorHAnsi" w:hAnsiTheme="minorHAnsi"/>
        </w:rPr>
        <w:t xml:space="preserve">and </w:t>
      </w:r>
      <w:r w:rsidR="004F410A" w:rsidRPr="007B2CD7">
        <w:rPr>
          <w:rFonts w:asciiTheme="minorHAnsi" w:hAnsiTheme="minorHAnsi"/>
        </w:rPr>
        <w:t xml:space="preserve">Board (Risk) </w:t>
      </w:r>
      <w:r w:rsidR="00FF4AAF" w:rsidRPr="007B2CD7">
        <w:rPr>
          <w:rFonts w:asciiTheme="minorHAnsi" w:hAnsiTheme="minorHAnsi"/>
        </w:rPr>
        <w:t xml:space="preserve">Committee </w:t>
      </w:r>
      <w:r w:rsidR="00026276" w:rsidRPr="007B2CD7">
        <w:rPr>
          <w:rFonts w:asciiTheme="minorHAnsi" w:hAnsiTheme="minorHAnsi"/>
        </w:rPr>
        <w:t>at least quarterly</w:t>
      </w:r>
      <w:r w:rsidR="00F8450B" w:rsidRPr="007B2CD7">
        <w:rPr>
          <w:rFonts w:asciiTheme="minorHAnsi" w:hAnsiTheme="minorHAnsi"/>
        </w:rPr>
        <w:t>.</w:t>
      </w:r>
    </w:p>
    <w:p w14:paraId="0639A0B8" w14:textId="77777777" w:rsidR="00026276" w:rsidRPr="00392020" w:rsidRDefault="00026276" w:rsidP="00392020">
      <w:pPr>
        <w:pStyle w:val="Heading1"/>
        <w:spacing w:line="276" w:lineRule="auto"/>
      </w:pPr>
      <w:bookmarkStart w:id="55" w:name="_Toc321901241"/>
      <w:bookmarkStart w:id="56" w:name="_Toc507416346"/>
      <w:r w:rsidRPr="00392020">
        <w:t>Loan Loss Allowances</w:t>
      </w:r>
      <w:bookmarkEnd w:id="55"/>
      <w:bookmarkEnd w:id="56"/>
    </w:p>
    <w:p w14:paraId="6BD75C94" w14:textId="77777777" w:rsidR="00460C27" w:rsidRPr="007B2CD7" w:rsidRDefault="00D97E7A" w:rsidP="007B2CD7">
      <w:pPr>
        <w:spacing w:before="120" w:after="60" w:line="276" w:lineRule="auto"/>
        <w:jc w:val="both"/>
        <w:rPr>
          <w:rFonts w:asciiTheme="minorHAnsi" w:hAnsiTheme="minorHAnsi"/>
          <w:szCs w:val="22"/>
        </w:rPr>
      </w:pPr>
      <w:r w:rsidRPr="007B2CD7">
        <w:rPr>
          <w:rFonts w:asciiTheme="minorHAnsi" w:hAnsiTheme="minorHAnsi"/>
          <w:color w:val="2E74B5"/>
          <w:szCs w:val="22"/>
        </w:rPr>
        <w:fldChar w:fldCharType="begin"/>
      </w:r>
      <w:r w:rsidRPr="007B2CD7">
        <w:rPr>
          <w:rFonts w:asciiTheme="minorHAnsi" w:hAnsiTheme="minorHAnsi"/>
          <w:color w:val="2E74B5"/>
          <w:szCs w:val="22"/>
        </w:rPr>
        <w:instrText xml:space="preserve"> MACROBUTTON  AcceptAllChangesInDoc "Credit Union Name" </w:instrText>
      </w:r>
      <w:r w:rsidRPr="007B2CD7">
        <w:rPr>
          <w:rFonts w:asciiTheme="minorHAnsi" w:hAnsiTheme="minorHAnsi"/>
          <w:color w:val="2E74B5"/>
          <w:szCs w:val="22"/>
        </w:rPr>
        <w:fldChar w:fldCharType="end"/>
      </w:r>
      <w:r w:rsidR="00C40738" w:rsidRPr="007B2CD7">
        <w:rPr>
          <w:rFonts w:asciiTheme="minorHAnsi" w:hAnsiTheme="minorHAnsi"/>
          <w:szCs w:val="22"/>
        </w:rPr>
        <w:t xml:space="preserve"> will prepare a separate Loan Loss Allowance policy for Board</w:t>
      </w:r>
      <w:r w:rsidR="007D26DE" w:rsidRPr="007B2CD7">
        <w:rPr>
          <w:rFonts w:asciiTheme="minorHAnsi" w:hAnsiTheme="minorHAnsi"/>
          <w:szCs w:val="22"/>
        </w:rPr>
        <w:t xml:space="preserve"> (Risk Committee</w:t>
      </w:r>
      <w:r w:rsidR="009B676D" w:rsidRPr="007B2CD7">
        <w:rPr>
          <w:rFonts w:asciiTheme="minorHAnsi" w:hAnsiTheme="minorHAnsi"/>
          <w:szCs w:val="22"/>
        </w:rPr>
        <w:t>)</w:t>
      </w:r>
      <w:r w:rsidR="00C40738" w:rsidRPr="007B2CD7">
        <w:rPr>
          <w:rFonts w:asciiTheme="minorHAnsi" w:hAnsiTheme="minorHAnsi"/>
          <w:szCs w:val="22"/>
        </w:rPr>
        <w:t xml:space="preserve"> approval and annual review. The policy should address the following </w:t>
      </w:r>
      <w:r w:rsidR="00460C27" w:rsidRPr="007B2CD7">
        <w:rPr>
          <w:rFonts w:asciiTheme="minorHAnsi" w:hAnsiTheme="minorHAnsi"/>
          <w:szCs w:val="22"/>
        </w:rPr>
        <w:t>components:</w:t>
      </w:r>
    </w:p>
    <w:p w14:paraId="40077A46" w14:textId="77777777" w:rsidR="00460C27" w:rsidRPr="007B2CD7" w:rsidRDefault="00C40738" w:rsidP="007B2CD7">
      <w:pPr>
        <w:pStyle w:val="ListParagraph"/>
        <w:numPr>
          <w:ilvl w:val="0"/>
          <w:numId w:val="2"/>
        </w:numPr>
        <w:spacing w:before="120" w:after="60" w:line="276" w:lineRule="auto"/>
        <w:ind w:left="360" w:hanging="270"/>
        <w:jc w:val="both"/>
        <w:rPr>
          <w:rFonts w:asciiTheme="minorHAnsi" w:hAnsiTheme="minorHAnsi"/>
        </w:rPr>
      </w:pPr>
      <w:r w:rsidRPr="007B2CD7">
        <w:rPr>
          <w:rFonts w:asciiTheme="minorHAnsi" w:hAnsiTheme="minorHAnsi"/>
        </w:rPr>
        <w:t xml:space="preserve">Board </w:t>
      </w:r>
      <w:r w:rsidR="007D26DE" w:rsidRPr="007B2CD7">
        <w:rPr>
          <w:rFonts w:asciiTheme="minorHAnsi" w:hAnsiTheme="minorHAnsi"/>
        </w:rPr>
        <w:t xml:space="preserve">allowance </w:t>
      </w:r>
      <w:r w:rsidR="007B2CD7">
        <w:rPr>
          <w:rFonts w:asciiTheme="minorHAnsi" w:hAnsiTheme="minorHAnsi"/>
        </w:rPr>
        <w:t>strategy</w:t>
      </w:r>
    </w:p>
    <w:p w14:paraId="79EAA778" w14:textId="77777777" w:rsidR="00460C27" w:rsidRPr="007B2CD7" w:rsidRDefault="007B2CD7" w:rsidP="007B2CD7">
      <w:pPr>
        <w:pStyle w:val="ListParagraph"/>
        <w:numPr>
          <w:ilvl w:val="0"/>
          <w:numId w:val="2"/>
        </w:numPr>
        <w:spacing w:before="120" w:after="60" w:line="276" w:lineRule="auto"/>
        <w:ind w:left="360" w:hanging="270"/>
        <w:jc w:val="both"/>
        <w:rPr>
          <w:rFonts w:asciiTheme="minorHAnsi" w:hAnsiTheme="minorHAnsi"/>
        </w:rPr>
      </w:pPr>
      <w:r>
        <w:rPr>
          <w:rFonts w:asciiTheme="minorHAnsi" w:hAnsiTheme="minorHAnsi"/>
        </w:rPr>
        <w:t>Guiding Principles</w:t>
      </w:r>
    </w:p>
    <w:p w14:paraId="3A2790D8" w14:textId="77777777" w:rsidR="00460C27" w:rsidRPr="007B2CD7" w:rsidRDefault="00460C27" w:rsidP="007B2CD7">
      <w:pPr>
        <w:pStyle w:val="ListParagraph"/>
        <w:numPr>
          <w:ilvl w:val="0"/>
          <w:numId w:val="2"/>
        </w:numPr>
        <w:spacing w:before="120" w:after="60" w:line="276" w:lineRule="auto"/>
        <w:ind w:left="360" w:hanging="270"/>
        <w:jc w:val="both"/>
        <w:rPr>
          <w:rFonts w:asciiTheme="minorHAnsi" w:hAnsiTheme="minorHAnsi"/>
        </w:rPr>
      </w:pPr>
      <w:r w:rsidRPr="007B2CD7">
        <w:rPr>
          <w:rFonts w:asciiTheme="minorHAnsi" w:hAnsiTheme="minorHAnsi"/>
        </w:rPr>
        <w:t>Model description</w:t>
      </w:r>
    </w:p>
    <w:p w14:paraId="1AEC77D3" w14:textId="77777777" w:rsidR="00460C27" w:rsidRPr="007B2CD7" w:rsidRDefault="00460C27" w:rsidP="007B2CD7">
      <w:pPr>
        <w:pStyle w:val="ListParagraph"/>
        <w:numPr>
          <w:ilvl w:val="0"/>
          <w:numId w:val="2"/>
        </w:numPr>
        <w:spacing w:before="120" w:after="60" w:line="276" w:lineRule="auto"/>
        <w:ind w:left="360" w:hanging="270"/>
        <w:jc w:val="both"/>
        <w:rPr>
          <w:rFonts w:asciiTheme="minorHAnsi" w:hAnsiTheme="minorHAnsi"/>
        </w:rPr>
      </w:pPr>
      <w:r w:rsidRPr="007B2CD7">
        <w:rPr>
          <w:rFonts w:asciiTheme="minorHAnsi" w:hAnsiTheme="minorHAnsi"/>
        </w:rPr>
        <w:t>Model application</w:t>
      </w:r>
    </w:p>
    <w:p w14:paraId="7CBDACD2" w14:textId="77777777" w:rsidR="00C40738" w:rsidRPr="007B2CD7" w:rsidRDefault="007B2CD7" w:rsidP="007B2CD7">
      <w:pPr>
        <w:pStyle w:val="ListParagraph"/>
        <w:numPr>
          <w:ilvl w:val="0"/>
          <w:numId w:val="2"/>
        </w:numPr>
        <w:spacing w:before="120" w:after="60" w:line="276" w:lineRule="auto"/>
        <w:ind w:left="360" w:hanging="270"/>
        <w:jc w:val="both"/>
        <w:rPr>
          <w:rFonts w:asciiTheme="minorHAnsi" w:hAnsiTheme="minorHAnsi"/>
        </w:rPr>
      </w:pPr>
      <w:r>
        <w:rPr>
          <w:rFonts w:asciiTheme="minorHAnsi" w:hAnsiTheme="minorHAnsi"/>
        </w:rPr>
        <w:t>Reporting and approval</w:t>
      </w:r>
    </w:p>
    <w:p w14:paraId="139BE5F5" w14:textId="77777777" w:rsidR="00026276" w:rsidRPr="00392020" w:rsidRDefault="00026276" w:rsidP="00392020">
      <w:pPr>
        <w:pStyle w:val="Heading2"/>
        <w:spacing w:before="120" w:line="276" w:lineRule="auto"/>
        <w:jc w:val="both"/>
        <w:rPr>
          <w:rFonts w:asciiTheme="minorHAnsi" w:hAnsiTheme="minorHAnsi"/>
          <w:sz w:val="24"/>
          <w:szCs w:val="24"/>
        </w:rPr>
      </w:pPr>
      <w:bookmarkStart w:id="57" w:name="_Toc321901242"/>
      <w:bookmarkStart w:id="58" w:name="_Toc507416347"/>
      <w:r w:rsidRPr="00392020">
        <w:rPr>
          <w:rFonts w:asciiTheme="minorHAnsi" w:hAnsiTheme="minorHAnsi"/>
          <w:sz w:val="24"/>
          <w:szCs w:val="24"/>
        </w:rPr>
        <w:lastRenderedPageBreak/>
        <w:t xml:space="preserve">Collective </w:t>
      </w:r>
      <w:r w:rsidR="004E648C" w:rsidRPr="00392020">
        <w:rPr>
          <w:rFonts w:asciiTheme="minorHAnsi" w:hAnsiTheme="minorHAnsi"/>
          <w:sz w:val="24"/>
          <w:szCs w:val="24"/>
        </w:rPr>
        <w:t>Allowance (</w:t>
      </w:r>
      <w:r w:rsidRPr="00392020">
        <w:rPr>
          <w:rFonts w:asciiTheme="minorHAnsi" w:hAnsiTheme="minorHAnsi"/>
          <w:sz w:val="24"/>
          <w:szCs w:val="24"/>
        </w:rPr>
        <w:t>Provisions</w:t>
      </w:r>
      <w:r w:rsidR="004E648C" w:rsidRPr="00392020">
        <w:rPr>
          <w:rFonts w:asciiTheme="minorHAnsi" w:hAnsiTheme="minorHAnsi"/>
          <w:sz w:val="24"/>
          <w:szCs w:val="24"/>
        </w:rPr>
        <w:t>)</w:t>
      </w:r>
      <w:bookmarkEnd w:id="57"/>
      <w:bookmarkEnd w:id="58"/>
    </w:p>
    <w:p w14:paraId="5ED1B09C" w14:textId="77777777" w:rsidR="00026276" w:rsidRPr="007B2CD7" w:rsidRDefault="00D97E7A" w:rsidP="007B2CD7">
      <w:pPr>
        <w:pStyle w:val="ListParagraph"/>
        <w:spacing w:before="120" w:line="276" w:lineRule="auto"/>
        <w:ind w:left="0"/>
        <w:contextualSpacing w:val="0"/>
        <w:jc w:val="both"/>
        <w:rPr>
          <w:rFonts w:asciiTheme="minorHAnsi" w:hAnsiTheme="minorHAnsi"/>
          <w:i/>
          <w:color w:val="2E74B5"/>
        </w:rPr>
      </w:pPr>
      <w:r w:rsidRPr="007B2CD7">
        <w:rPr>
          <w:rFonts w:asciiTheme="minorHAnsi" w:hAnsiTheme="minorHAnsi"/>
          <w:color w:val="2E74B5"/>
        </w:rPr>
        <w:fldChar w:fldCharType="begin"/>
      </w:r>
      <w:r w:rsidRPr="007B2CD7">
        <w:rPr>
          <w:rFonts w:asciiTheme="minorHAnsi" w:hAnsiTheme="minorHAnsi"/>
          <w:color w:val="2E74B5"/>
        </w:rPr>
        <w:instrText xml:space="preserve"> MACROBUTTON  AcceptAllChangesInDoc "Credit Union Name" </w:instrText>
      </w:r>
      <w:r w:rsidRPr="007B2CD7">
        <w:rPr>
          <w:rFonts w:asciiTheme="minorHAnsi" w:hAnsiTheme="minorHAnsi"/>
          <w:color w:val="2E74B5"/>
        </w:rPr>
        <w:fldChar w:fldCharType="end"/>
      </w:r>
      <w:r w:rsidR="00026276" w:rsidRPr="007B2CD7">
        <w:rPr>
          <w:rFonts w:asciiTheme="minorHAnsi" w:hAnsiTheme="minorHAnsi"/>
        </w:rPr>
        <w:t xml:space="preserve">will develop and maintain a </w:t>
      </w:r>
      <w:r w:rsidR="004E648C" w:rsidRPr="007B2CD7">
        <w:rPr>
          <w:rFonts w:asciiTheme="minorHAnsi" w:hAnsiTheme="minorHAnsi"/>
        </w:rPr>
        <w:t>c</w:t>
      </w:r>
      <w:r w:rsidR="00026276" w:rsidRPr="007B2CD7">
        <w:rPr>
          <w:rFonts w:asciiTheme="minorHAnsi" w:hAnsiTheme="minorHAnsi"/>
        </w:rPr>
        <w:t xml:space="preserve">ollective </w:t>
      </w:r>
      <w:r w:rsidR="004E648C" w:rsidRPr="007B2CD7">
        <w:rPr>
          <w:rFonts w:asciiTheme="minorHAnsi" w:hAnsiTheme="minorHAnsi"/>
        </w:rPr>
        <w:t>a</w:t>
      </w:r>
      <w:r w:rsidR="00026276" w:rsidRPr="007B2CD7">
        <w:rPr>
          <w:rFonts w:asciiTheme="minorHAnsi" w:hAnsiTheme="minorHAnsi"/>
        </w:rPr>
        <w:t xml:space="preserve">llowance model to </w:t>
      </w:r>
      <w:r w:rsidR="00460C27" w:rsidRPr="007B2CD7">
        <w:rPr>
          <w:rFonts w:asciiTheme="minorHAnsi" w:hAnsiTheme="minorHAnsi"/>
        </w:rPr>
        <w:t xml:space="preserve">establish </w:t>
      </w:r>
      <w:r w:rsidR="00026276" w:rsidRPr="007B2CD7">
        <w:rPr>
          <w:rFonts w:asciiTheme="minorHAnsi" w:hAnsiTheme="minorHAnsi"/>
        </w:rPr>
        <w:t xml:space="preserve">an appropriate level of </w:t>
      </w:r>
      <w:r w:rsidR="004E648C" w:rsidRPr="007B2CD7">
        <w:rPr>
          <w:rFonts w:asciiTheme="minorHAnsi" w:hAnsiTheme="minorHAnsi"/>
        </w:rPr>
        <w:t>provisions</w:t>
      </w:r>
      <w:r w:rsidR="00460C27" w:rsidRPr="007B2CD7">
        <w:rPr>
          <w:rFonts w:asciiTheme="minorHAnsi" w:hAnsiTheme="minorHAnsi"/>
        </w:rPr>
        <w:t xml:space="preserve">, </w:t>
      </w:r>
      <w:r w:rsidR="00026276" w:rsidRPr="007B2CD7">
        <w:rPr>
          <w:rFonts w:asciiTheme="minorHAnsi" w:hAnsiTheme="minorHAnsi"/>
        </w:rPr>
        <w:t>mitigat</w:t>
      </w:r>
      <w:r w:rsidR="00460C27" w:rsidRPr="007B2CD7">
        <w:rPr>
          <w:rFonts w:asciiTheme="minorHAnsi" w:hAnsiTheme="minorHAnsi"/>
        </w:rPr>
        <w:t xml:space="preserve">ing potential losses from </w:t>
      </w:r>
      <w:r w:rsidR="00026276" w:rsidRPr="007B2CD7">
        <w:rPr>
          <w:rFonts w:asciiTheme="minorHAnsi" w:hAnsiTheme="minorHAnsi"/>
        </w:rPr>
        <w:t xml:space="preserve">loans that are impaired, however not yet specifically identified. The </w:t>
      </w:r>
      <w:r w:rsidR="004E648C" w:rsidRPr="007B2CD7">
        <w:rPr>
          <w:rFonts w:asciiTheme="minorHAnsi" w:hAnsiTheme="minorHAnsi"/>
        </w:rPr>
        <w:t>c</w:t>
      </w:r>
      <w:r w:rsidR="00026276" w:rsidRPr="007B2CD7">
        <w:rPr>
          <w:rFonts w:asciiTheme="minorHAnsi" w:hAnsiTheme="minorHAnsi"/>
        </w:rPr>
        <w:t xml:space="preserve">ollective </w:t>
      </w:r>
      <w:r w:rsidR="004E648C" w:rsidRPr="007B2CD7">
        <w:rPr>
          <w:rFonts w:asciiTheme="minorHAnsi" w:hAnsiTheme="minorHAnsi"/>
        </w:rPr>
        <w:t>a</w:t>
      </w:r>
      <w:r w:rsidR="00026276" w:rsidRPr="007B2CD7">
        <w:rPr>
          <w:rFonts w:asciiTheme="minorHAnsi" w:hAnsiTheme="minorHAnsi"/>
        </w:rPr>
        <w:t xml:space="preserve">llowance model will be consistent with </w:t>
      </w:r>
      <w:r w:rsidR="00E95FF5" w:rsidRPr="007B2CD7">
        <w:rPr>
          <w:rFonts w:asciiTheme="minorHAnsi" w:hAnsiTheme="minorHAnsi"/>
        </w:rPr>
        <w:t xml:space="preserve">accounting and </w:t>
      </w:r>
      <w:r w:rsidR="00026276" w:rsidRPr="007B2CD7">
        <w:rPr>
          <w:rFonts w:asciiTheme="minorHAnsi" w:hAnsiTheme="minorHAnsi"/>
        </w:rPr>
        <w:t>regulatory guidance and industry best practice</w:t>
      </w:r>
      <w:r w:rsidR="007D26DE" w:rsidRPr="007B2CD7">
        <w:rPr>
          <w:rFonts w:asciiTheme="minorHAnsi" w:hAnsiTheme="minorHAnsi"/>
        </w:rPr>
        <w:t xml:space="preserve">, </w:t>
      </w:r>
      <w:r w:rsidR="00026276" w:rsidRPr="007B2CD7">
        <w:rPr>
          <w:rFonts w:asciiTheme="minorHAnsi" w:hAnsiTheme="minorHAnsi"/>
        </w:rPr>
        <w:t>recalculated on a minimum quarterly basis</w:t>
      </w:r>
      <w:r w:rsidR="004C4518" w:rsidRPr="007B2CD7">
        <w:rPr>
          <w:rFonts w:asciiTheme="minorHAnsi" w:hAnsiTheme="minorHAnsi"/>
        </w:rPr>
        <w:t xml:space="preserve"> and approved by the e</w:t>
      </w:r>
      <w:r w:rsidR="007D26DE" w:rsidRPr="007B2CD7">
        <w:rPr>
          <w:rFonts w:asciiTheme="minorHAnsi" w:hAnsiTheme="minorHAnsi"/>
        </w:rPr>
        <w:t>xecutive</w:t>
      </w:r>
      <w:r w:rsidR="004C4518" w:rsidRPr="007B2CD7">
        <w:rPr>
          <w:rFonts w:asciiTheme="minorHAnsi" w:hAnsiTheme="minorHAnsi"/>
        </w:rPr>
        <w:t>/m</w:t>
      </w:r>
      <w:r w:rsidR="007D26DE" w:rsidRPr="007B2CD7">
        <w:rPr>
          <w:rFonts w:asciiTheme="minorHAnsi" w:hAnsiTheme="minorHAnsi"/>
        </w:rPr>
        <w:t xml:space="preserve">anagement </w:t>
      </w:r>
      <w:r w:rsidR="004C4518" w:rsidRPr="007B2CD7">
        <w:rPr>
          <w:rFonts w:asciiTheme="minorHAnsi" w:hAnsiTheme="minorHAnsi"/>
        </w:rPr>
        <w:t>(credit) committee</w:t>
      </w:r>
      <w:r w:rsidR="00026276" w:rsidRPr="007B2CD7">
        <w:rPr>
          <w:rFonts w:asciiTheme="minorHAnsi" w:hAnsiTheme="minorHAnsi"/>
        </w:rPr>
        <w:t xml:space="preserve">. Changes to </w:t>
      </w:r>
      <w:r w:rsidR="004E648C" w:rsidRPr="007B2CD7">
        <w:rPr>
          <w:rFonts w:asciiTheme="minorHAnsi" w:hAnsiTheme="minorHAnsi"/>
        </w:rPr>
        <w:t>collective model</w:t>
      </w:r>
      <w:r w:rsidR="00026276" w:rsidRPr="007B2CD7">
        <w:rPr>
          <w:rFonts w:asciiTheme="minorHAnsi" w:hAnsiTheme="minorHAnsi"/>
        </w:rPr>
        <w:t xml:space="preserve"> methodology</w:t>
      </w:r>
      <w:r w:rsidR="004F410A" w:rsidRPr="007B2CD7">
        <w:rPr>
          <w:rFonts w:asciiTheme="minorHAnsi" w:hAnsiTheme="minorHAnsi"/>
        </w:rPr>
        <w:t xml:space="preserve"> require approval of the Board (Risk C</w:t>
      </w:r>
      <w:r w:rsidR="00026276" w:rsidRPr="007B2CD7">
        <w:rPr>
          <w:rFonts w:asciiTheme="minorHAnsi" w:hAnsiTheme="minorHAnsi"/>
        </w:rPr>
        <w:t>ommittee</w:t>
      </w:r>
      <w:r w:rsidR="009B676D" w:rsidRPr="007B2CD7">
        <w:rPr>
          <w:rFonts w:asciiTheme="minorHAnsi" w:hAnsiTheme="minorHAnsi"/>
        </w:rPr>
        <w:t>)</w:t>
      </w:r>
      <w:r w:rsidR="00026276" w:rsidRPr="007B2CD7">
        <w:rPr>
          <w:rFonts w:asciiTheme="minorHAnsi" w:hAnsiTheme="minorHAnsi"/>
        </w:rPr>
        <w:t>.</w:t>
      </w:r>
      <w:r w:rsidR="00C1606C" w:rsidRPr="007B2CD7">
        <w:rPr>
          <w:rFonts w:asciiTheme="minorHAnsi" w:hAnsiTheme="minorHAnsi"/>
          <w:color w:val="2E74B5"/>
        </w:rPr>
        <w:t xml:space="preserve"> </w:t>
      </w:r>
      <w:r w:rsidR="00C1606C" w:rsidRPr="007B2CD7">
        <w:rPr>
          <w:rFonts w:asciiTheme="minorHAnsi" w:hAnsiTheme="minorHAnsi"/>
          <w:i/>
          <w:color w:val="2E74B5"/>
        </w:rPr>
        <w:t xml:space="preserve">(Note this will </w:t>
      </w:r>
      <w:r w:rsidR="007B2CD7">
        <w:rPr>
          <w:rFonts w:asciiTheme="minorHAnsi" w:hAnsiTheme="minorHAnsi"/>
          <w:i/>
          <w:color w:val="2E74B5"/>
        </w:rPr>
        <w:t>incorporate requirements of</w:t>
      </w:r>
      <w:r w:rsidR="00C1606C" w:rsidRPr="007B2CD7">
        <w:rPr>
          <w:rFonts w:asciiTheme="minorHAnsi" w:hAnsiTheme="minorHAnsi"/>
          <w:i/>
          <w:color w:val="2E74B5"/>
        </w:rPr>
        <w:t xml:space="preserve"> an </w:t>
      </w:r>
      <w:r w:rsidR="00C1606C" w:rsidRPr="007B2CD7">
        <w:rPr>
          <w:rFonts w:asciiTheme="minorHAnsi" w:hAnsiTheme="minorHAnsi"/>
          <w:i/>
          <w:color w:val="2E74B5"/>
          <w:u w:val="single"/>
        </w:rPr>
        <w:t>expected loss</w:t>
      </w:r>
      <w:r w:rsidR="00C1606C" w:rsidRPr="007B2CD7">
        <w:rPr>
          <w:rFonts w:asciiTheme="minorHAnsi" w:hAnsiTheme="minorHAnsi"/>
          <w:i/>
          <w:color w:val="2E74B5"/>
        </w:rPr>
        <w:t xml:space="preserve"> model </w:t>
      </w:r>
      <w:r w:rsidR="00BB0882" w:rsidRPr="007B2CD7">
        <w:rPr>
          <w:rFonts w:asciiTheme="minorHAnsi" w:hAnsiTheme="minorHAnsi"/>
          <w:i/>
          <w:color w:val="2E74B5"/>
        </w:rPr>
        <w:t>effective November 1,</w:t>
      </w:r>
      <w:r w:rsidR="00C1606C" w:rsidRPr="007B2CD7">
        <w:rPr>
          <w:rFonts w:asciiTheme="minorHAnsi" w:hAnsiTheme="minorHAnsi"/>
          <w:i/>
          <w:color w:val="2E74B5"/>
        </w:rPr>
        <w:t xml:space="preserve"> 201</w:t>
      </w:r>
      <w:r w:rsidR="0072361F" w:rsidRPr="007B2CD7">
        <w:rPr>
          <w:rFonts w:asciiTheme="minorHAnsi" w:hAnsiTheme="minorHAnsi"/>
          <w:i/>
          <w:color w:val="2E74B5"/>
        </w:rPr>
        <w:t>8</w:t>
      </w:r>
      <w:r w:rsidR="00C1606C" w:rsidRPr="007B2CD7">
        <w:rPr>
          <w:rFonts w:asciiTheme="minorHAnsi" w:hAnsiTheme="minorHAnsi"/>
          <w:i/>
          <w:color w:val="2E74B5"/>
        </w:rPr>
        <w:t>)</w:t>
      </w:r>
    </w:p>
    <w:p w14:paraId="2D712AE3" w14:textId="77777777" w:rsidR="00026276" w:rsidRPr="00392020" w:rsidRDefault="00026276" w:rsidP="00392020">
      <w:pPr>
        <w:pStyle w:val="Heading2"/>
        <w:spacing w:before="120" w:line="276" w:lineRule="auto"/>
        <w:jc w:val="both"/>
        <w:rPr>
          <w:rFonts w:asciiTheme="minorHAnsi" w:hAnsiTheme="minorHAnsi"/>
          <w:sz w:val="24"/>
          <w:szCs w:val="24"/>
        </w:rPr>
      </w:pPr>
      <w:bookmarkStart w:id="59" w:name="_Toc321901243"/>
      <w:bookmarkStart w:id="60" w:name="_Toc507416348"/>
      <w:r w:rsidRPr="00392020">
        <w:rPr>
          <w:rFonts w:asciiTheme="minorHAnsi" w:hAnsiTheme="minorHAnsi"/>
          <w:sz w:val="24"/>
          <w:szCs w:val="24"/>
        </w:rPr>
        <w:t xml:space="preserve">Specific </w:t>
      </w:r>
      <w:r w:rsidR="004E648C" w:rsidRPr="00392020">
        <w:rPr>
          <w:rFonts w:asciiTheme="minorHAnsi" w:hAnsiTheme="minorHAnsi"/>
          <w:sz w:val="24"/>
          <w:szCs w:val="24"/>
        </w:rPr>
        <w:t>Allowance (</w:t>
      </w:r>
      <w:r w:rsidRPr="00392020">
        <w:rPr>
          <w:rFonts w:asciiTheme="minorHAnsi" w:hAnsiTheme="minorHAnsi"/>
          <w:sz w:val="24"/>
          <w:szCs w:val="24"/>
        </w:rPr>
        <w:t>Provisions</w:t>
      </w:r>
      <w:r w:rsidR="004E648C" w:rsidRPr="00392020">
        <w:rPr>
          <w:rFonts w:asciiTheme="minorHAnsi" w:hAnsiTheme="minorHAnsi"/>
          <w:sz w:val="24"/>
          <w:szCs w:val="24"/>
        </w:rPr>
        <w:t>)</w:t>
      </w:r>
      <w:bookmarkEnd w:id="59"/>
      <w:bookmarkEnd w:id="60"/>
    </w:p>
    <w:p w14:paraId="6987149D" w14:textId="77777777" w:rsidR="00026276" w:rsidRPr="007B2CD7" w:rsidRDefault="00026276"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 xml:space="preserve">Specific provisions will be established by the Credit Department for each impaired loan, based on the </w:t>
      </w:r>
      <w:r w:rsidR="004E648C" w:rsidRPr="007B2CD7">
        <w:rPr>
          <w:rFonts w:asciiTheme="minorHAnsi" w:hAnsiTheme="minorHAnsi"/>
        </w:rPr>
        <w:t>estimated</w:t>
      </w:r>
      <w:r w:rsidRPr="007B2CD7">
        <w:rPr>
          <w:rFonts w:asciiTheme="minorHAnsi" w:hAnsiTheme="minorHAnsi"/>
        </w:rPr>
        <w:t xml:space="preserve"> loss after deducting the net realizable value of security held. Net realizable value will </w:t>
      </w:r>
      <w:proofErr w:type="gramStart"/>
      <w:r w:rsidRPr="007B2CD7">
        <w:rPr>
          <w:rFonts w:asciiTheme="minorHAnsi" w:hAnsiTheme="minorHAnsi"/>
        </w:rPr>
        <w:t>take into account</w:t>
      </w:r>
      <w:proofErr w:type="gramEnd"/>
      <w:r w:rsidRPr="007B2CD7">
        <w:rPr>
          <w:rFonts w:asciiTheme="minorHAnsi" w:hAnsiTheme="minorHAnsi"/>
        </w:rPr>
        <w:t xml:space="preserve"> costs of disposal</w:t>
      </w:r>
      <w:r w:rsidR="004E648C" w:rsidRPr="007B2CD7">
        <w:rPr>
          <w:rFonts w:asciiTheme="minorHAnsi" w:hAnsiTheme="minorHAnsi"/>
        </w:rPr>
        <w:t>. W</w:t>
      </w:r>
      <w:r w:rsidRPr="007B2CD7">
        <w:rPr>
          <w:rFonts w:asciiTheme="minorHAnsi" w:hAnsiTheme="minorHAnsi"/>
        </w:rPr>
        <w:t xml:space="preserve">here </w:t>
      </w:r>
      <w:r w:rsidR="004E648C" w:rsidRPr="007B2CD7">
        <w:rPr>
          <w:rFonts w:asciiTheme="minorHAnsi" w:hAnsiTheme="minorHAnsi"/>
        </w:rPr>
        <w:t>impaired loan exposure is greater than $</w:t>
      </w:r>
      <w:r w:rsidR="009B676D" w:rsidRPr="007B2CD7">
        <w:rPr>
          <w:rFonts w:asciiTheme="minorHAnsi" w:hAnsiTheme="minorHAnsi"/>
        </w:rPr>
        <w:t>1,000,000</w:t>
      </w:r>
      <w:r w:rsidR="004E648C" w:rsidRPr="007B2CD7">
        <w:rPr>
          <w:rFonts w:asciiTheme="minorHAnsi" w:hAnsiTheme="minorHAnsi"/>
        </w:rPr>
        <w:t xml:space="preserve"> and recovery is e</w:t>
      </w:r>
      <w:r w:rsidRPr="007B2CD7">
        <w:rPr>
          <w:rFonts w:asciiTheme="minorHAnsi" w:hAnsiTheme="minorHAnsi"/>
        </w:rPr>
        <w:t>xpected to be protracted more than 1-year</w:t>
      </w:r>
      <w:r w:rsidR="00F8450B" w:rsidRPr="007B2CD7">
        <w:rPr>
          <w:rFonts w:asciiTheme="minorHAnsi" w:hAnsiTheme="minorHAnsi"/>
        </w:rPr>
        <w:t>,</w:t>
      </w:r>
      <w:r w:rsidRPr="007B2CD7">
        <w:rPr>
          <w:rFonts w:asciiTheme="minorHAnsi" w:hAnsiTheme="minorHAnsi"/>
        </w:rPr>
        <w:t xml:space="preserve"> </w:t>
      </w:r>
      <w:r w:rsidR="004E648C" w:rsidRPr="007B2CD7">
        <w:rPr>
          <w:rFonts w:asciiTheme="minorHAnsi" w:hAnsiTheme="minorHAnsi"/>
        </w:rPr>
        <w:t xml:space="preserve">the net realizable value is to be reduced </w:t>
      </w:r>
      <w:r w:rsidR="009B676D" w:rsidRPr="007B2CD7">
        <w:rPr>
          <w:rFonts w:asciiTheme="minorHAnsi" w:hAnsiTheme="minorHAnsi"/>
        </w:rPr>
        <w:t xml:space="preserve">through </w:t>
      </w:r>
      <w:r w:rsidR="004E648C" w:rsidRPr="007B2CD7">
        <w:rPr>
          <w:rFonts w:asciiTheme="minorHAnsi" w:hAnsiTheme="minorHAnsi"/>
        </w:rPr>
        <w:t xml:space="preserve">a </w:t>
      </w:r>
      <w:r w:rsidRPr="007B2CD7">
        <w:rPr>
          <w:rFonts w:asciiTheme="minorHAnsi" w:hAnsiTheme="minorHAnsi"/>
        </w:rPr>
        <w:t>net present value calculation</w:t>
      </w:r>
      <w:r w:rsidR="004E648C" w:rsidRPr="007B2CD7">
        <w:rPr>
          <w:rFonts w:asciiTheme="minorHAnsi" w:hAnsiTheme="minorHAnsi"/>
        </w:rPr>
        <w:t>.</w:t>
      </w:r>
      <w:r w:rsidRPr="007B2CD7">
        <w:rPr>
          <w:rFonts w:asciiTheme="minorHAnsi" w:hAnsiTheme="minorHAnsi"/>
        </w:rPr>
        <w:t xml:space="preserve"> Specific provisions will be approved by the Management Credit </w:t>
      </w:r>
      <w:r w:rsidR="00FF4AAF" w:rsidRPr="007B2CD7">
        <w:rPr>
          <w:rFonts w:asciiTheme="minorHAnsi" w:hAnsiTheme="minorHAnsi"/>
        </w:rPr>
        <w:t xml:space="preserve">(Special Debts) </w:t>
      </w:r>
      <w:r w:rsidRPr="007B2CD7">
        <w:rPr>
          <w:rFonts w:asciiTheme="minorHAnsi" w:hAnsiTheme="minorHAnsi"/>
        </w:rPr>
        <w:t>Committee and reviewed at least quarterly.</w:t>
      </w:r>
    </w:p>
    <w:p w14:paraId="7E2EB62E" w14:textId="77777777" w:rsidR="00026276" w:rsidRPr="00392020" w:rsidRDefault="00026276" w:rsidP="00392020">
      <w:pPr>
        <w:pStyle w:val="Heading1"/>
        <w:spacing w:line="276" w:lineRule="auto"/>
      </w:pPr>
      <w:bookmarkStart w:id="61" w:name="_Toc321901244"/>
      <w:bookmarkStart w:id="62" w:name="_Toc507416349"/>
      <w:r w:rsidRPr="00392020">
        <w:t>Write-offs</w:t>
      </w:r>
      <w:bookmarkEnd w:id="61"/>
      <w:bookmarkEnd w:id="62"/>
    </w:p>
    <w:p w14:paraId="610FF92C" w14:textId="77777777" w:rsidR="00D35257" w:rsidRPr="007B2CD7" w:rsidRDefault="00026276"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Loans will be written off when there is no reasonable expectation of further recovery</w:t>
      </w:r>
      <w:r w:rsidR="00AE0FF8" w:rsidRPr="007B2CD7">
        <w:rPr>
          <w:rFonts w:asciiTheme="minorHAnsi" w:hAnsiTheme="minorHAnsi"/>
        </w:rPr>
        <w:t>.</w:t>
      </w:r>
      <w:r w:rsidRPr="007B2CD7">
        <w:rPr>
          <w:rFonts w:asciiTheme="minorHAnsi" w:hAnsiTheme="minorHAnsi"/>
        </w:rPr>
        <w:t xml:space="preserve"> </w:t>
      </w:r>
      <w:r w:rsidR="00D35257" w:rsidRPr="007B2CD7">
        <w:rPr>
          <w:rFonts w:asciiTheme="minorHAnsi" w:hAnsiTheme="minorHAnsi"/>
        </w:rPr>
        <w:t xml:space="preserve">Credit cards and unsecured overdrafts will be written off when they reach 180-days in arrears. </w:t>
      </w:r>
    </w:p>
    <w:p w14:paraId="3CD6ED91" w14:textId="77777777" w:rsidR="00026276" w:rsidRPr="007B2CD7" w:rsidRDefault="004F56EE"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T</w:t>
      </w:r>
      <w:r w:rsidR="00026276" w:rsidRPr="007B2CD7">
        <w:rPr>
          <w:rFonts w:asciiTheme="minorHAnsi" w:hAnsiTheme="minorHAnsi"/>
        </w:rPr>
        <w:t>he M</w:t>
      </w:r>
      <w:r w:rsidR="00D97E7A" w:rsidRPr="007B2CD7">
        <w:rPr>
          <w:rFonts w:asciiTheme="minorHAnsi" w:hAnsiTheme="minorHAnsi"/>
        </w:rPr>
        <w:t xml:space="preserve">anagement </w:t>
      </w:r>
      <w:r w:rsidR="00E017FB" w:rsidRPr="007B2CD7">
        <w:rPr>
          <w:rFonts w:asciiTheme="minorHAnsi" w:hAnsiTheme="minorHAnsi"/>
        </w:rPr>
        <w:t>C</w:t>
      </w:r>
      <w:r w:rsidR="00D97E7A" w:rsidRPr="007B2CD7">
        <w:rPr>
          <w:rFonts w:asciiTheme="minorHAnsi" w:hAnsiTheme="minorHAnsi"/>
        </w:rPr>
        <w:t xml:space="preserve">redit </w:t>
      </w:r>
      <w:r w:rsidR="00E017FB" w:rsidRPr="007B2CD7">
        <w:rPr>
          <w:rFonts w:asciiTheme="minorHAnsi" w:hAnsiTheme="minorHAnsi"/>
        </w:rPr>
        <w:t>C</w:t>
      </w:r>
      <w:r w:rsidR="00D97E7A" w:rsidRPr="007B2CD7">
        <w:rPr>
          <w:rFonts w:asciiTheme="minorHAnsi" w:hAnsiTheme="minorHAnsi"/>
        </w:rPr>
        <w:t xml:space="preserve">ommittee </w:t>
      </w:r>
      <w:r w:rsidRPr="007B2CD7">
        <w:rPr>
          <w:rFonts w:asciiTheme="minorHAnsi" w:hAnsiTheme="minorHAnsi"/>
        </w:rPr>
        <w:t xml:space="preserve">may delegate specific write-off limits, supported by appropriate reporting. The Management Credit Committee will provide a (minimum) </w:t>
      </w:r>
      <w:r w:rsidR="00D97E7A" w:rsidRPr="007B2CD7">
        <w:rPr>
          <w:rFonts w:asciiTheme="minorHAnsi" w:hAnsiTheme="minorHAnsi"/>
        </w:rPr>
        <w:t xml:space="preserve">quarterly </w:t>
      </w:r>
      <w:r w:rsidRPr="007B2CD7">
        <w:rPr>
          <w:rFonts w:asciiTheme="minorHAnsi" w:hAnsiTheme="minorHAnsi"/>
        </w:rPr>
        <w:t xml:space="preserve">summary write-off </w:t>
      </w:r>
      <w:r w:rsidR="00D97E7A" w:rsidRPr="007B2CD7">
        <w:rPr>
          <w:rFonts w:asciiTheme="minorHAnsi" w:hAnsiTheme="minorHAnsi"/>
        </w:rPr>
        <w:t>report to the Board (Risk) Committee</w:t>
      </w:r>
      <w:r w:rsidR="00026276" w:rsidRPr="007B2CD7">
        <w:rPr>
          <w:rFonts w:asciiTheme="minorHAnsi" w:hAnsiTheme="minorHAnsi"/>
        </w:rPr>
        <w:t xml:space="preserve">. Loans written off </w:t>
      </w:r>
      <w:r w:rsidR="003860C7" w:rsidRPr="007B2CD7">
        <w:rPr>
          <w:rFonts w:asciiTheme="minorHAnsi" w:hAnsiTheme="minorHAnsi"/>
        </w:rPr>
        <w:t>will</w:t>
      </w:r>
      <w:r w:rsidR="00026276" w:rsidRPr="007B2CD7">
        <w:rPr>
          <w:rFonts w:asciiTheme="minorHAnsi" w:hAnsiTheme="minorHAnsi"/>
        </w:rPr>
        <w:t xml:space="preserve"> be reviewed periodically and records, including judgement</w:t>
      </w:r>
      <w:r w:rsidR="00E017FB" w:rsidRPr="007B2CD7">
        <w:rPr>
          <w:rFonts w:asciiTheme="minorHAnsi" w:hAnsiTheme="minorHAnsi"/>
        </w:rPr>
        <w:t>s, where applicable</w:t>
      </w:r>
      <w:r w:rsidR="00026276" w:rsidRPr="007B2CD7">
        <w:rPr>
          <w:rFonts w:asciiTheme="minorHAnsi" w:hAnsiTheme="minorHAnsi"/>
        </w:rPr>
        <w:t xml:space="preserve"> maintained to support the potential for future recovery.</w:t>
      </w:r>
    </w:p>
    <w:p w14:paraId="1C64B2B0" w14:textId="77777777" w:rsidR="00026276" w:rsidRPr="00392020" w:rsidRDefault="00026276" w:rsidP="00392020">
      <w:pPr>
        <w:pStyle w:val="Heading1"/>
        <w:spacing w:line="276" w:lineRule="auto"/>
      </w:pPr>
      <w:bookmarkStart w:id="63" w:name="_Toc321901245"/>
      <w:bookmarkStart w:id="64" w:name="_Toc507416350"/>
      <w:r w:rsidRPr="00392020">
        <w:t>Risk T</w:t>
      </w:r>
      <w:r w:rsidR="00F8450B" w:rsidRPr="00392020">
        <w:t>olerance Levels</w:t>
      </w:r>
      <w:bookmarkEnd w:id="63"/>
      <w:bookmarkEnd w:id="64"/>
    </w:p>
    <w:p w14:paraId="5E27C9B3" w14:textId="77777777" w:rsidR="00026276" w:rsidRPr="007B2CD7" w:rsidRDefault="00E017FB"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 xml:space="preserve">Senior </w:t>
      </w:r>
      <w:r w:rsidR="00026276" w:rsidRPr="007B2CD7">
        <w:rPr>
          <w:rFonts w:asciiTheme="minorHAnsi" w:hAnsiTheme="minorHAnsi"/>
        </w:rPr>
        <w:t xml:space="preserve">Management has developed key </w:t>
      </w:r>
      <w:r w:rsidRPr="007B2CD7">
        <w:rPr>
          <w:rFonts w:asciiTheme="minorHAnsi" w:hAnsiTheme="minorHAnsi"/>
        </w:rPr>
        <w:t xml:space="preserve">credit </w:t>
      </w:r>
      <w:r w:rsidR="00026276" w:rsidRPr="007B2CD7">
        <w:rPr>
          <w:rFonts w:asciiTheme="minorHAnsi" w:hAnsiTheme="minorHAnsi"/>
        </w:rPr>
        <w:t>risk indicators for Board approval, as per Appendix “A”. Key</w:t>
      </w:r>
      <w:r w:rsidR="00FF4AAF" w:rsidRPr="007B2CD7">
        <w:rPr>
          <w:rFonts w:asciiTheme="minorHAnsi" w:hAnsiTheme="minorHAnsi"/>
        </w:rPr>
        <w:t xml:space="preserve"> Risks </w:t>
      </w:r>
      <w:r w:rsidR="004534D7" w:rsidRPr="007B2CD7">
        <w:rPr>
          <w:rFonts w:asciiTheme="minorHAnsi" w:hAnsiTheme="minorHAnsi"/>
        </w:rPr>
        <w:t>include</w:t>
      </w:r>
      <w:r w:rsidR="00FF4AAF" w:rsidRPr="007B2CD7">
        <w:rPr>
          <w:rFonts w:asciiTheme="minorHAnsi" w:hAnsiTheme="minorHAnsi"/>
        </w:rPr>
        <w:t xml:space="preserve"> delinquencies, w</w:t>
      </w:r>
      <w:r w:rsidR="00026276" w:rsidRPr="007B2CD7">
        <w:rPr>
          <w:rFonts w:asciiTheme="minorHAnsi" w:hAnsiTheme="minorHAnsi"/>
        </w:rPr>
        <w:t>atch account</w:t>
      </w:r>
      <w:r w:rsidR="00FF4AAF" w:rsidRPr="007B2CD7">
        <w:rPr>
          <w:rFonts w:asciiTheme="minorHAnsi" w:hAnsiTheme="minorHAnsi"/>
        </w:rPr>
        <w:t>s, defaults, expired loans and loan l</w:t>
      </w:r>
      <w:r w:rsidR="00026276" w:rsidRPr="007B2CD7">
        <w:rPr>
          <w:rFonts w:asciiTheme="minorHAnsi" w:hAnsiTheme="minorHAnsi"/>
        </w:rPr>
        <w:t>oss</w:t>
      </w:r>
      <w:r w:rsidR="00FF4AAF" w:rsidRPr="007B2CD7">
        <w:rPr>
          <w:rFonts w:asciiTheme="minorHAnsi" w:hAnsiTheme="minorHAnsi"/>
        </w:rPr>
        <w:t>es</w:t>
      </w:r>
      <w:r w:rsidR="00026276" w:rsidRPr="007B2CD7">
        <w:rPr>
          <w:rFonts w:asciiTheme="minorHAnsi" w:hAnsiTheme="minorHAnsi"/>
        </w:rPr>
        <w:t xml:space="preserve"> on a product basis. Performance reporting will be provided to Management monthly and the </w:t>
      </w:r>
      <w:r w:rsidR="004F410A" w:rsidRPr="007B2CD7">
        <w:rPr>
          <w:rFonts w:asciiTheme="minorHAnsi" w:hAnsiTheme="minorHAnsi"/>
        </w:rPr>
        <w:t>Board (Risk</w:t>
      </w:r>
      <w:r w:rsidR="00596719" w:rsidRPr="007B2CD7">
        <w:rPr>
          <w:rFonts w:asciiTheme="minorHAnsi" w:hAnsiTheme="minorHAnsi"/>
        </w:rPr>
        <w:t>/ERM</w:t>
      </w:r>
      <w:r w:rsidR="004F410A" w:rsidRPr="007B2CD7">
        <w:rPr>
          <w:rFonts w:asciiTheme="minorHAnsi" w:hAnsiTheme="minorHAnsi"/>
        </w:rPr>
        <w:t xml:space="preserve"> </w:t>
      </w:r>
      <w:r w:rsidR="00026276" w:rsidRPr="007B2CD7">
        <w:rPr>
          <w:rFonts w:asciiTheme="minorHAnsi" w:hAnsiTheme="minorHAnsi"/>
        </w:rPr>
        <w:t>Committee</w:t>
      </w:r>
      <w:r w:rsidR="009B676D" w:rsidRPr="007B2CD7">
        <w:rPr>
          <w:rFonts w:asciiTheme="minorHAnsi" w:hAnsiTheme="minorHAnsi"/>
        </w:rPr>
        <w:t>)</w:t>
      </w:r>
      <w:r w:rsidR="007B2CD7">
        <w:rPr>
          <w:rFonts w:asciiTheme="minorHAnsi" w:hAnsiTheme="minorHAnsi"/>
        </w:rPr>
        <w:t xml:space="preserve"> at least quarterly.</w:t>
      </w:r>
    </w:p>
    <w:p w14:paraId="3771C7F9" w14:textId="77777777" w:rsidR="00026276" w:rsidRPr="00392020" w:rsidRDefault="00026276" w:rsidP="00392020">
      <w:pPr>
        <w:pStyle w:val="Heading1"/>
        <w:spacing w:line="276" w:lineRule="auto"/>
      </w:pPr>
      <w:bookmarkStart w:id="65" w:name="_Toc321901246"/>
      <w:bookmarkStart w:id="66" w:name="_Toc507416351"/>
      <w:r w:rsidRPr="00392020">
        <w:t>Concentration Limits</w:t>
      </w:r>
      <w:bookmarkEnd w:id="65"/>
      <w:bookmarkEnd w:id="66"/>
    </w:p>
    <w:p w14:paraId="23115D2C" w14:textId="77777777" w:rsidR="00026276" w:rsidRPr="007B2CD7" w:rsidRDefault="00026276" w:rsidP="007B2CD7">
      <w:pPr>
        <w:pStyle w:val="ListParagraph"/>
        <w:spacing w:before="120" w:after="60" w:line="276" w:lineRule="auto"/>
        <w:ind w:left="0"/>
        <w:contextualSpacing w:val="0"/>
        <w:jc w:val="both"/>
        <w:rPr>
          <w:rFonts w:asciiTheme="minorHAnsi" w:hAnsiTheme="minorHAnsi"/>
        </w:rPr>
      </w:pPr>
      <w:r w:rsidRPr="007B2CD7">
        <w:rPr>
          <w:rFonts w:asciiTheme="minorHAnsi" w:hAnsiTheme="minorHAnsi"/>
        </w:rPr>
        <w:t>Management has developed credit concentration limits</w:t>
      </w:r>
      <w:r w:rsidR="00F8450B" w:rsidRPr="007B2CD7">
        <w:rPr>
          <w:rFonts w:asciiTheme="minorHAnsi" w:hAnsiTheme="minorHAnsi"/>
        </w:rPr>
        <w:t xml:space="preserve">, including those required under CUDGC </w:t>
      </w:r>
      <w:r w:rsidR="00E017FB" w:rsidRPr="007B2CD7">
        <w:rPr>
          <w:rFonts w:asciiTheme="minorHAnsi" w:hAnsiTheme="minorHAnsi"/>
        </w:rPr>
        <w:t xml:space="preserve">Lending </w:t>
      </w:r>
      <w:r w:rsidR="00F8450B" w:rsidRPr="007B2CD7">
        <w:rPr>
          <w:rFonts w:asciiTheme="minorHAnsi" w:hAnsiTheme="minorHAnsi"/>
        </w:rPr>
        <w:t xml:space="preserve">Guidelines </w:t>
      </w:r>
      <w:r w:rsidRPr="007B2CD7">
        <w:rPr>
          <w:rFonts w:asciiTheme="minorHAnsi" w:hAnsiTheme="minorHAnsi"/>
        </w:rPr>
        <w:t>for Board approval, as per Appendix “B”. Concentration limits include line of business, industry exposure,</w:t>
      </w:r>
      <w:r w:rsidR="00E017FB" w:rsidRPr="007B2CD7">
        <w:rPr>
          <w:rFonts w:asciiTheme="minorHAnsi" w:hAnsiTheme="minorHAnsi"/>
        </w:rPr>
        <w:t xml:space="preserve"> includin</w:t>
      </w:r>
      <w:r w:rsidRPr="007B2CD7">
        <w:rPr>
          <w:rFonts w:asciiTheme="minorHAnsi" w:hAnsiTheme="minorHAnsi"/>
        </w:rPr>
        <w:t xml:space="preserve">g commercial real estate and hospitality, geographical exposure, direct and connected borrower exposure, </w:t>
      </w:r>
      <w:r w:rsidR="00F8450B" w:rsidRPr="007B2CD7">
        <w:rPr>
          <w:rFonts w:asciiTheme="minorHAnsi" w:hAnsiTheme="minorHAnsi"/>
        </w:rPr>
        <w:t xml:space="preserve">and </w:t>
      </w:r>
      <w:r w:rsidRPr="007B2CD7">
        <w:rPr>
          <w:rFonts w:asciiTheme="minorHAnsi" w:hAnsiTheme="minorHAnsi"/>
        </w:rPr>
        <w:t xml:space="preserve">global exposure. Concentration reporting will be provided to </w:t>
      </w:r>
      <w:r w:rsidR="002D6351" w:rsidRPr="007B2CD7">
        <w:rPr>
          <w:rFonts w:asciiTheme="minorHAnsi" w:hAnsiTheme="minorHAnsi"/>
        </w:rPr>
        <w:t xml:space="preserve">Senior </w:t>
      </w:r>
      <w:r w:rsidRPr="007B2CD7">
        <w:rPr>
          <w:rFonts w:asciiTheme="minorHAnsi" w:hAnsiTheme="minorHAnsi"/>
        </w:rPr>
        <w:t xml:space="preserve">Management monthly and the </w:t>
      </w:r>
      <w:r w:rsidR="004F410A" w:rsidRPr="007B2CD7">
        <w:rPr>
          <w:rFonts w:asciiTheme="minorHAnsi" w:hAnsiTheme="minorHAnsi"/>
        </w:rPr>
        <w:t>Board (Risk</w:t>
      </w:r>
      <w:r w:rsidRPr="007B2CD7">
        <w:rPr>
          <w:rFonts w:asciiTheme="minorHAnsi" w:hAnsiTheme="minorHAnsi"/>
        </w:rPr>
        <w:t xml:space="preserve"> Committee</w:t>
      </w:r>
      <w:r w:rsidR="009B676D" w:rsidRPr="007B2CD7">
        <w:rPr>
          <w:rFonts w:asciiTheme="minorHAnsi" w:hAnsiTheme="minorHAnsi"/>
        </w:rPr>
        <w:t>)</w:t>
      </w:r>
      <w:r w:rsidR="007B2CD7" w:rsidRPr="007B2CD7">
        <w:rPr>
          <w:rFonts w:asciiTheme="minorHAnsi" w:hAnsiTheme="minorHAnsi"/>
        </w:rPr>
        <w:t xml:space="preserve"> at least quarterly.</w:t>
      </w:r>
    </w:p>
    <w:p w14:paraId="6C301FEC" w14:textId="77777777" w:rsidR="00026276" w:rsidRPr="00392020" w:rsidRDefault="00026276" w:rsidP="000735D1">
      <w:pPr>
        <w:pStyle w:val="Heading1"/>
        <w:spacing w:line="276" w:lineRule="auto"/>
      </w:pPr>
      <w:bookmarkStart w:id="67" w:name="_Toc321901247"/>
      <w:bookmarkStart w:id="68" w:name="_Toc507416352"/>
      <w:r w:rsidRPr="00392020">
        <w:t>Counterparty Risk</w:t>
      </w:r>
      <w:bookmarkEnd w:id="67"/>
      <w:bookmarkEnd w:id="68"/>
    </w:p>
    <w:p w14:paraId="0D4590C1" w14:textId="77777777" w:rsidR="00026276" w:rsidRPr="000735D1" w:rsidRDefault="00026276" w:rsidP="000735D1">
      <w:pPr>
        <w:pStyle w:val="ListParagraph"/>
        <w:spacing w:before="120" w:after="60" w:line="276" w:lineRule="auto"/>
        <w:ind w:left="0"/>
        <w:contextualSpacing w:val="0"/>
        <w:jc w:val="both"/>
        <w:rPr>
          <w:rFonts w:asciiTheme="minorHAnsi" w:hAnsiTheme="minorHAnsi"/>
        </w:rPr>
      </w:pPr>
      <w:r w:rsidRPr="000735D1">
        <w:rPr>
          <w:rFonts w:asciiTheme="minorHAnsi" w:hAnsiTheme="minorHAnsi"/>
        </w:rPr>
        <w:t xml:space="preserve">Counterparty risk must be monitored and approved within assigned credit authorization limits, through a formal credit application process. Counterparty risk </w:t>
      </w:r>
      <w:r w:rsidR="00460C27" w:rsidRPr="000735D1">
        <w:rPr>
          <w:rFonts w:asciiTheme="minorHAnsi" w:hAnsiTheme="minorHAnsi"/>
        </w:rPr>
        <w:t>includes</w:t>
      </w:r>
      <w:r w:rsidR="00E017FB" w:rsidRPr="000735D1">
        <w:rPr>
          <w:rFonts w:asciiTheme="minorHAnsi" w:hAnsiTheme="minorHAnsi"/>
        </w:rPr>
        <w:t>, for example</w:t>
      </w:r>
      <w:r w:rsidRPr="000735D1">
        <w:rPr>
          <w:rFonts w:asciiTheme="minorHAnsi" w:hAnsiTheme="minorHAnsi"/>
        </w:rPr>
        <w:t xml:space="preserve"> aggregate credit exposure to a Financial Institution</w:t>
      </w:r>
      <w:r w:rsidR="00460C27" w:rsidRPr="000735D1">
        <w:rPr>
          <w:rFonts w:asciiTheme="minorHAnsi" w:hAnsiTheme="minorHAnsi"/>
        </w:rPr>
        <w:t xml:space="preserve">, including </w:t>
      </w:r>
      <w:r w:rsidR="002F6274" w:rsidRPr="000735D1">
        <w:rPr>
          <w:rFonts w:asciiTheme="minorHAnsi" w:hAnsiTheme="minorHAnsi"/>
        </w:rPr>
        <w:t xml:space="preserve">investments or </w:t>
      </w:r>
      <w:r w:rsidRPr="000735D1">
        <w:rPr>
          <w:rFonts w:asciiTheme="minorHAnsi" w:hAnsiTheme="minorHAnsi"/>
        </w:rPr>
        <w:t>derivative contracts</w:t>
      </w:r>
      <w:r w:rsidR="00F8450B" w:rsidRPr="000735D1">
        <w:rPr>
          <w:rFonts w:asciiTheme="minorHAnsi" w:hAnsiTheme="minorHAnsi"/>
        </w:rPr>
        <w:t xml:space="preserve"> sourced directly or through intermediaries, such as Credit Union Central</w:t>
      </w:r>
      <w:r w:rsidR="00E017FB" w:rsidRPr="000735D1">
        <w:rPr>
          <w:rFonts w:asciiTheme="minorHAnsi" w:hAnsiTheme="minorHAnsi"/>
        </w:rPr>
        <w:t xml:space="preserve"> of Alberta</w:t>
      </w:r>
      <w:r w:rsidR="007B2CD7" w:rsidRPr="000735D1">
        <w:rPr>
          <w:rFonts w:asciiTheme="minorHAnsi" w:hAnsiTheme="minorHAnsi"/>
        </w:rPr>
        <w:t>.</w:t>
      </w:r>
    </w:p>
    <w:p w14:paraId="40CF04DE" w14:textId="77777777" w:rsidR="00026276" w:rsidRPr="00392020" w:rsidRDefault="00026276" w:rsidP="000735D1">
      <w:pPr>
        <w:pStyle w:val="Heading1"/>
        <w:spacing w:line="276" w:lineRule="auto"/>
        <w:contextualSpacing/>
      </w:pPr>
      <w:bookmarkStart w:id="69" w:name="_Toc321901248"/>
      <w:bookmarkStart w:id="70" w:name="_Toc507416353"/>
      <w:r w:rsidRPr="00392020">
        <w:lastRenderedPageBreak/>
        <w:t>Stress Testing</w:t>
      </w:r>
      <w:bookmarkEnd w:id="69"/>
      <w:bookmarkEnd w:id="70"/>
    </w:p>
    <w:p w14:paraId="60FAA0CC" w14:textId="77777777" w:rsidR="00C65BD5" w:rsidRPr="003C2A99" w:rsidRDefault="00026276" w:rsidP="003C2A99">
      <w:pPr>
        <w:pStyle w:val="Heading2"/>
        <w:rPr>
          <w:rStyle w:val="Heading2Char"/>
          <w:rFonts w:eastAsia="Calibri"/>
          <w:b/>
          <w:bCs/>
          <w:i/>
          <w:iCs/>
          <w:sz w:val="24"/>
          <w:szCs w:val="24"/>
        </w:rPr>
      </w:pPr>
      <w:bookmarkStart w:id="71" w:name="_Toc321901249"/>
      <w:bookmarkStart w:id="72" w:name="_Toc507416354"/>
      <w:r w:rsidRPr="003C2A99">
        <w:rPr>
          <w:rStyle w:val="Heading2Char"/>
          <w:rFonts w:eastAsia="Calibri"/>
          <w:b/>
          <w:bCs/>
          <w:i/>
          <w:iCs/>
          <w:sz w:val="24"/>
          <w:szCs w:val="24"/>
        </w:rPr>
        <w:t>Individual Stress Testing</w:t>
      </w:r>
      <w:bookmarkEnd w:id="71"/>
      <w:bookmarkEnd w:id="72"/>
    </w:p>
    <w:p w14:paraId="09F79E62" w14:textId="77777777" w:rsidR="00026276" w:rsidRPr="000735D1" w:rsidRDefault="00026276" w:rsidP="000735D1">
      <w:pPr>
        <w:pStyle w:val="ListParagraph"/>
        <w:spacing w:before="120" w:after="60" w:line="276" w:lineRule="auto"/>
        <w:ind w:left="0"/>
        <w:contextualSpacing w:val="0"/>
        <w:jc w:val="both"/>
        <w:rPr>
          <w:rFonts w:asciiTheme="minorHAnsi" w:hAnsiTheme="minorHAnsi"/>
          <w:b/>
          <w:bCs/>
          <w:i/>
          <w:iCs/>
        </w:rPr>
      </w:pPr>
      <w:r w:rsidRPr="000735D1">
        <w:rPr>
          <w:rFonts w:asciiTheme="minorHAnsi" w:hAnsiTheme="minorHAnsi"/>
        </w:rPr>
        <w:t>Risk analysis for credit applications in excess of $</w:t>
      </w:r>
      <w:r w:rsidR="001F5C26" w:rsidRPr="000735D1">
        <w:rPr>
          <w:rFonts w:asciiTheme="minorHAnsi" w:hAnsiTheme="minorHAnsi"/>
        </w:rPr>
        <w:fldChar w:fldCharType="begin"/>
      </w:r>
      <w:r w:rsidR="001F5C26" w:rsidRPr="000735D1">
        <w:rPr>
          <w:rFonts w:asciiTheme="minorHAnsi" w:hAnsiTheme="minorHAnsi"/>
        </w:rPr>
        <w:instrText xml:space="preserve"> MACROBUTTON  AcceptAllChangesInDoc # </w:instrText>
      </w:r>
      <w:r w:rsidR="001F5C26" w:rsidRPr="000735D1">
        <w:rPr>
          <w:rFonts w:asciiTheme="minorHAnsi" w:hAnsiTheme="minorHAnsi"/>
        </w:rPr>
        <w:fldChar w:fldCharType="end"/>
      </w:r>
      <w:r w:rsidRPr="000735D1">
        <w:rPr>
          <w:rFonts w:asciiTheme="minorHAnsi" w:hAnsiTheme="minorHAnsi"/>
        </w:rPr>
        <w:t xml:space="preserve"> million </w:t>
      </w:r>
      <w:r w:rsidR="00D35257" w:rsidRPr="000735D1">
        <w:rPr>
          <w:rFonts w:asciiTheme="minorHAnsi" w:hAnsiTheme="minorHAnsi"/>
        </w:rPr>
        <w:t xml:space="preserve">will </w:t>
      </w:r>
      <w:r w:rsidRPr="000735D1">
        <w:rPr>
          <w:rFonts w:asciiTheme="minorHAnsi" w:hAnsiTheme="minorHAnsi"/>
        </w:rPr>
        <w:t xml:space="preserve">include an interest sensitivity analysis that indicates the borrower produces sufficient cash flow (i.e. DSCR 1.00 or better) to meet scheduled payments incorporating an interest rate of </w:t>
      </w:r>
      <w:r w:rsidR="001F5C26" w:rsidRPr="000735D1">
        <w:rPr>
          <w:rFonts w:asciiTheme="minorHAnsi" w:hAnsiTheme="minorHAnsi"/>
        </w:rPr>
        <w:fldChar w:fldCharType="begin"/>
      </w:r>
      <w:r w:rsidR="001F5C26" w:rsidRPr="000735D1">
        <w:rPr>
          <w:rFonts w:asciiTheme="minorHAnsi" w:hAnsiTheme="minorHAnsi"/>
        </w:rPr>
        <w:instrText xml:space="preserve"> MACROBUTTON  AcceptAllChangesInDoc ### </w:instrText>
      </w:r>
      <w:r w:rsidR="001F5C26" w:rsidRPr="000735D1">
        <w:rPr>
          <w:rFonts w:asciiTheme="minorHAnsi" w:hAnsiTheme="minorHAnsi"/>
        </w:rPr>
        <w:fldChar w:fldCharType="end"/>
      </w:r>
      <w:r w:rsidR="001F5C26" w:rsidRPr="000735D1">
        <w:rPr>
          <w:rFonts w:asciiTheme="minorHAnsi" w:hAnsiTheme="minorHAnsi"/>
        </w:rPr>
        <w:t xml:space="preserve"> </w:t>
      </w:r>
      <w:r w:rsidRPr="000735D1">
        <w:rPr>
          <w:rFonts w:asciiTheme="minorHAnsi" w:hAnsiTheme="minorHAnsi"/>
        </w:rPr>
        <w:t xml:space="preserve">basis points higher than the current </w:t>
      </w:r>
      <w:r w:rsidR="00463FF3" w:rsidRPr="000735D1">
        <w:rPr>
          <w:rFonts w:asciiTheme="minorHAnsi" w:hAnsiTheme="minorHAnsi"/>
        </w:rPr>
        <w:t xml:space="preserve">5-year fixed </w:t>
      </w:r>
      <w:r w:rsidRPr="000735D1">
        <w:rPr>
          <w:rFonts w:asciiTheme="minorHAnsi" w:hAnsiTheme="minorHAnsi"/>
        </w:rPr>
        <w:t>interest rate</w:t>
      </w:r>
      <w:r w:rsidR="002F6274" w:rsidRPr="000735D1">
        <w:rPr>
          <w:rFonts w:asciiTheme="minorHAnsi" w:hAnsiTheme="minorHAnsi"/>
        </w:rPr>
        <w:t>.</w:t>
      </w:r>
      <w:r w:rsidR="00D35257" w:rsidRPr="000735D1">
        <w:rPr>
          <w:rFonts w:asciiTheme="minorHAnsi" w:hAnsiTheme="minorHAnsi"/>
        </w:rPr>
        <w:t xml:space="preserve"> Multi</w:t>
      </w:r>
      <w:r w:rsidR="00FC6505" w:rsidRPr="000735D1">
        <w:rPr>
          <w:rFonts w:asciiTheme="minorHAnsi" w:hAnsiTheme="minorHAnsi"/>
        </w:rPr>
        <w:t>-</w:t>
      </w:r>
      <w:r w:rsidR="00D35257" w:rsidRPr="000735D1">
        <w:rPr>
          <w:rFonts w:asciiTheme="minorHAnsi" w:hAnsiTheme="minorHAnsi"/>
        </w:rPr>
        <w:t xml:space="preserve">scenario simulations should be considered, such as </w:t>
      </w:r>
      <w:r w:rsidR="001A42CC" w:rsidRPr="000735D1">
        <w:rPr>
          <w:rFonts w:asciiTheme="minorHAnsi" w:hAnsiTheme="minorHAnsi"/>
        </w:rPr>
        <w:t xml:space="preserve">lower cash flow resulting from </w:t>
      </w:r>
      <w:r w:rsidR="00D35257" w:rsidRPr="000735D1">
        <w:rPr>
          <w:rFonts w:asciiTheme="minorHAnsi" w:hAnsiTheme="minorHAnsi"/>
        </w:rPr>
        <w:t xml:space="preserve">higher </w:t>
      </w:r>
      <w:r w:rsidR="001A42CC" w:rsidRPr="000735D1">
        <w:rPr>
          <w:rFonts w:asciiTheme="minorHAnsi" w:hAnsiTheme="minorHAnsi"/>
        </w:rPr>
        <w:t xml:space="preserve">lease </w:t>
      </w:r>
      <w:r w:rsidR="00D35257" w:rsidRPr="000735D1">
        <w:rPr>
          <w:rFonts w:asciiTheme="minorHAnsi" w:hAnsiTheme="minorHAnsi"/>
        </w:rPr>
        <w:t xml:space="preserve">vacancy rates, </w:t>
      </w:r>
      <w:r w:rsidR="001A42CC" w:rsidRPr="000735D1">
        <w:rPr>
          <w:rFonts w:asciiTheme="minorHAnsi" w:hAnsiTheme="minorHAnsi"/>
        </w:rPr>
        <w:t xml:space="preserve">combined with increased debt service requirements from higher interest rates, </w:t>
      </w:r>
      <w:r w:rsidR="00D35257" w:rsidRPr="000735D1">
        <w:rPr>
          <w:rFonts w:asciiTheme="minorHAnsi" w:hAnsiTheme="minorHAnsi"/>
        </w:rPr>
        <w:t>etc.</w:t>
      </w:r>
    </w:p>
    <w:p w14:paraId="7B83DB22" w14:textId="77777777" w:rsidR="00C65BD5" w:rsidRPr="003C2A99" w:rsidRDefault="00026276" w:rsidP="003C2A99">
      <w:pPr>
        <w:pStyle w:val="Heading2"/>
        <w:rPr>
          <w:rStyle w:val="Heading2Char"/>
          <w:rFonts w:eastAsia="Calibri"/>
          <w:b/>
          <w:bCs/>
          <w:i/>
          <w:iCs/>
          <w:sz w:val="24"/>
          <w:szCs w:val="24"/>
        </w:rPr>
      </w:pPr>
      <w:bookmarkStart w:id="73" w:name="_Toc321901250"/>
      <w:bookmarkStart w:id="74" w:name="_Toc507416355"/>
      <w:r w:rsidRPr="003C2A99">
        <w:rPr>
          <w:rStyle w:val="Heading2Char"/>
          <w:rFonts w:eastAsia="Calibri"/>
          <w:b/>
          <w:bCs/>
          <w:i/>
          <w:iCs/>
          <w:sz w:val="24"/>
          <w:szCs w:val="24"/>
        </w:rPr>
        <w:t>Portfolio Stress Testing</w:t>
      </w:r>
      <w:bookmarkEnd w:id="73"/>
      <w:bookmarkEnd w:id="74"/>
    </w:p>
    <w:p w14:paraId="0C7A96C6" w14:textId="77777777" w:rsidR="00026276" w:rsidRPr="000735D1" w:rsidRDefault="00026276" w:rsidP="000735D1">
      <w:pPr>
        <w:pStyle w:val="ListParagraph"/>
        <w:spacing w:before="120" w:after="60" w:line="276" w:lineRule="auto"/>
        <w:ind w:left="0"/>
        <w:contextualSpacing w:val="0"/>
        <w:jc w:val="both"/>
        <w:rPr>
          <w:rFonts w:asciiTheme="minorHAnsi" w:hAnsiTheme="minorHAnsi"/>
        </w:rPr>
      </w:pPr>
      <w:r w:rsidRPr="000735D1">
        <w:rPr>
          <w:rFonts w:asciiTheme="minorHAnsi" w:hAnsiTheme="minorHAnsi"/>
        </w:rPr>
        <w:t xml:space="preserve">A </w:t>
      </w:r>
      <w:r w:rsidR="00495507" w:rsidRPr="000735D1">
        <w:rPr>
          <w:rFonts w:asciiTheme="minorHAnsi" w:hAnsiTheme="minorHAnsi"/>
        </w:rPr>
        <w:t xml:space="preserve">credit </w:t>
      </w:r>
      <w:r w:rsidRPr="000735D1">
        <w:rPr>
          <w:rFonts w:asciiTheme="minorHAnsi" w:hAnsiTheme="minorHAnsi"/>
        </w:rPr>
        <w:t>stress testing program</w:t>
      </w:r>
      <w:r w:rsidR="00495507" w:rsidRPr="000735D1">
        <w:rPr>
          <w:rFonts w:asciiTheme="minorHAnsi" w:hAnsiTheme="minorHAnsi"/>
        </w:rPr>
        <w:t>, as a component of the credit union’s ERM and ICAAP stress testing processes,</w:t>
      </w:r>
      <w:r w:rsidRPr="000735D1">
        <w:rPr>
          <w:rFonts w:asciiTheme="minorHAnsi" w:hAnsiTheme="minorHAnsi"/>
        </w:rPr>
        <w:t xml:space="preserve"> will be </w:t>
      </w:r>
      <w:r w:rsidR="009B676D" w:rsidRPr="000735D1">
        <w:rPr>
          <w:rFonts w:asciiTheme="minorHAnsi" w:hAnsiTheme="minorHAnsi"/>
        </w:rPr>
        <w:t xml:space="preserve">maintained </w:t>
      </w:r>
      <w:r w:rsidRPr="000735D1">
        <w:rPr>
          <w:rFonts w:asciiTheme="minorHAnsi" w:hAnsiTheme="minorHAnsi"/>
        </w:rPr>
        <w:t xml:space="preserve">to assess the risk of default, on a portfolio basis with results and recommendations presented to the </w:t>
      </w:r>
      <w:r w:rsidR="004F410A" w:rsidRPr="000735D1">
        <w:rPr>
          <w:rFonts w:asciiTheme="minorHAnsi" w:hAnsiTheme="minorHAnsi"/>
        </w:rPr>
        <w:t xml:space="preserve">Board (Risk </w:t>
      </w:r>
      <w:r w:rsidRPr="000735D1">
        <w:rPr>
          <w:rFonts w:asciiTheme="minorHAnsi" w:hAnsiTheme="minorHAnsi"/>
        </w:rPr>
        <w:t>Committee</w:t>
      </w:r>
      <w:r w:rsidR="009B676D" w:rsidRPr="000735D1">
        <w:rPr>
          <w:rFonts w:asciiTheme="minorHAnsi" w:hAnsiTheme="minorHAnsi"/>
        </w:rPr>
        <w:t>)</w:t>
      </w:r>
      <w:r w:rsidRPr="000735D1">
        <w:rPr>
          <w:rFonts w:asciiTheme="minorHAnsi" w:hAnsiTheme="minorHAnsi"/>
        </w:rPr>
        <w:t>. Stress testing should incorporate multi</w:t>
      </w:r>
      <w:r w:rsidR="002F6274" w:rsidRPr="000735D1">
        <w:rPr>
          <w:rFonts w:asciiTheme="minorHAnsi" w:hAnsiTheme="minorHAnsi"/>
        </w:rPr>
        <w:t>-</w:t>
      </w:r>
      <w:r w:rsidRPr="000735D1">
        <w:rPr>
          <w:rFonts w:asciiTheme="minorHAnsi" w:hAnsiTheme="minorHAnsi"/>
        </w:rPr>
        <w:t>scenario analysis where appropriate</w:t>
      </w:r>
      <w:r w:rsidR="00F17AA1" w:rsidRPr="000735D1">
        <w:rPr>
          <w:rFonts w:asciiTheme="minorHAnsi" w:hAnsiTheme="minorHAnsi"/>
        </w:rPr>
        <w:t xml:space="preserve">, including </w:t>
      </w:r>
      <w:r w:rsidR="004F56EE" w:rsidRPr="000735D1">
        <w:rPr>
          <w:rFonts w:asciiTheme="minorHAnsi" w:hAnsiTheme="minorHAnsi"/>
        </w:rPr>
        <w:t>credit union</w:t>
      </w:r>
      <w:r w:rsidR="00F17AA1" w:rsidRPr="000735D1">
        <w:rPr>
          <w:rFonts w:asciiTheme="minorHAnsi" w:hAnsiTheme="minorHAnsi"/>
        </w:rPr>
        <w:t xml:space="preserve"> specific and macro-economic </w:t>
      </w:r>
      <w:r w:rsidR="004F56EE" w:rsidRPr="000735D1">
        <w:rPr>
          <w:rFonts w:asciiTheme="minorHAnsi" w:hAnsiTheme="minorHAnsi"/>
        </w:rPr>
        <w:t>default/</w:t>
      </w:r>
      <w:r w:rsidR="00F17AA1" w:rsidRPr="000735D1">
        <w:rPr>
          <w:rFonts w:asciiTheme="minorHAnsi" w:hAnsiTheme="minorHAnsi"/>
        </w:rPr>
        <w:t>loss drivers.</w:t>
      </w:r>
      <w:r w:rsidRPr="000735D1">
        <w:rPr>
          <w:rFonts w:asciiTheme="minorHAnsi" w:hAnsiTheme="minorHAnsi"/>
        </w:rPr>
        <w:t xml:space="preserve"> </w:t>
      </w:r>
      <w:r w:rsidR="002F6274" w:rsidRPr="000735D1">
        <w:rPr>
          <w:rFonts w:asciiTheme="minorHAnsi" w:hAnsiTheme="minorHAnsi"/>
        </w:rPr>
        <w:t xml:space="preserve">The </w:t>
      </w:r>
      <w:r w:rsidRPr="000735D1">
        <w:rPr>
          <w:rFonts w:asciiTheme="minorHAnsi" w:hAnsiTheme="minorHAnsi"/>
        </w:rPr>
        <w:t>Commercial Real Estate sub portfolio will be subject to stress testing at leas</w:t>
      </w:r>
      <w:r w:rsidR="002F6274" w:rsidRPr="000735D1">
        <w:rPr>
          <w:rFonts w:asciiTheme="minorHAnsi" w:hAnsiTheme="minorHAnsi"/>
        </w:rPr>
        <w:t>t</w:t>
      </w:r>
      <w:r w:rsidR="00460C27" w:rsidRPr="000735D1">
        <w:rPr>
          <w:rFonts w:asciiTheme="minorHAnsi" w:hAnsiTheme="minorHAnsi"/>
        </w:rPr>
        <w:t xml:space="preserve"> annually.</w:t>
      </w:r>
      <w:r w:rsidR="001B27EB" w:rsidRPr="000735D1">
        <w:rPr>
          <w:rFonts w:asciiTheme="minorHAnsi" w:hAnsiTheme="minorHAnsi"/>
        </w:rPr>
        <w:t xml:space="preserve"> Portfolio stress testing will be a component of </w:t>
      </w:r>
      <w:r w:rsidR="00D97E7A" w:rsidRPr="000735D1">
        <w:rPr>
          <w:rFonts w:asciiTheme="minorHAnsi" w:hAnsiTheme="minorHAnsi"/>
        </w:rPr>
        <w:fldChar w:fldCharType="begin"/>
      </w:r>
      <w:r w:rsidR="00D97E7A" w:rsidRPr="000735D1">
        <w:rPr>
          <w:rFonts w:asciiTheme="minorHAnsi" w:hAnsiTheme="minorHAnsi"/>
        </w:rPr>
        <w:instrText xml:space="preserve"> MACROBUTTON  AcceptAllChangesInDoc "Credit Union Name" </w:instrText>
      </w:r>
      <w:r w:rsidR="00D97E7A" w:rsidRPr="000735D1">
        <w:rPr>
          <w:rFonts w:asciiTheme="minorHAnsi" w:hAnsiTheme="minorHAnsi"/>
        </w:rPr>
        <w:fldChar w:fldCharType="end"/>
      </w:r>
      <w:r w:rsidR="001B27EB" w:rsidRPr="000735D1">
        <w:rPr>
          <w:rFonts w:asciiTheme="minorHAnsi" w:hAnsiTheme="minorHAnsi"/>
        </w:rPr>
        <w:t>’s overall Enterprise Risk Management stress testing program.</w:t>
      </w:r>
    </w:p>
    <w:p w14:paraId="55F6E14D" w14:textId="77777777" w:rsidR="00026276" w:rsidRPr="00392020" w:rsidRDefault="002F6274" w:rsidP="00392020">
      <w:pPr>
        <w:pStyle w:val="Heading1"/>
        <w:spacing w:line="276" w:lineRule="auto"/>
      </w:pPr>
      <w:bookmarkStart w:id="75" w:name="_Toc321901251"/>
      <w:bookmarkStart w:id="76" w:name="_Toc507416356"/>
      <w:r w:rsidRPr="00392020">
        <w:t>Early Warning S</w:t>
      </w:r>
      <w:r w:rsidR="00026276" w:rsidRPr="00392020">
        <w:t>ignals:</w:t>
      </w:r>
      <w:bookmarkEnd w:id="75"/>
      <w:bookmarkEnd w:id="76"/>
    </w:p>
    <w:p w14:paraId="7B2E29BA" w14:textId="77777777" w:rsidR="00026276" w:rsidRPr="000735D1" w:rsidRDefault="00026276" w:rsidP="000735D1">
      <w:pPr>
        <w:pStyle w:val="ListParagraph"/>
        <w:spacing w:before="120" w:after="60" w:line="276" w:lineRule="auto"/>
        <w:ind w:left="0"/>
        <w:contextualSpacing w:val="0"/>
        <w:jc w:val="both"/>
        <w:rPr>
          <w:rFonts w:asciiTheme="minorHAnsi" w:hAnsiTheme="minorHAnsi"/>
        </w:rPr>
      </w:pPr>
      <w:r w:rsidRPr="000735D1">
        <w:rPr>
          <w:rFonts w:asciiTheme="minorHAnsi" w:hAnsiTheme="minorHAnsi"/>
        </w:rPr>
        <w:t xml:space="preserve">Early warning triggers </w:t>
      </w:r>
      <w:r w:rsidR="003860C7" w:rsidRPr="000735D1">
        <w:rPr>
          <w:rFonts w:asciiTheme="minorHAnsi" w:hAnsiTheme="minorHAnsi"/>
        </w:rPr>
        <w:t>will</w:t>
      </w:r>
      <w:r w:rsidRPr="000735D1">
        <w:rPr>
          <w:rFonts w:asciiTheme="minorHAnsi" w:hAnsiTheme="minorHAnsi"/>
        </w:rPr>
        <w:t xml:space="preserve"> be developed for commercial borrowings </w:t>
      </w:r>
      <w:r w:rsidR="00F8450B" w:rsidRPr="000735D1">
        <w:rPr>
          <w:rFonts w:asciiTheme="minorHAnsi" w:hAnsiTheme="minorHAnsi"/>
        </w:rPr>
        <w:t>in excess of $</w:t>
      </w:r>
      <w:r w:rsidR="001F5C26" w:rsidRPr="000735D1">
        <w:rPr>
          <w:rFonts w:asciiTheme="minorHAnsi" w:hAnsiTheme="minorHAnsi"/>
        </w:rPr>
        <w:fldChar w:fldCharType="begin"/>
      </w:r>
      <w:r w:rsidR="001F5C26" w:rsidRPr="000735D1">
        <w:rPr>
          <w:rFonts w:asciiTheme="minorHAnsi" w:hAnsiTheme="minorHAnsi"/>
        </w:rPr>
        <w:instrText xml:space="preserve"> MACROBUTTON  AcceptAllChangesInDoc # </w:instrText>
      </w:r>
      <w:r w:rsidR="001F5C26" w:rsidRPr="000735D1">
        <w:rPr>
          <w:rFonts w:asciiTheme="minorHAnsi" w:hAnsiTheme="minorHAnsi"/>
        </w:rPr>
        <w:fldChar w:fldCharType="end"/>
      </w:r>
      <w:r w:rsidR="00F8450B" w:rsidRPr="000735D1">
        <w:rPr>
          <w:rFonts w:asciiTheme="minorHAnsi" w:hAnsiTheme="minorHAnsi"/>
        </w:rPr>
        <w:t xml:space="preserve"> million </w:t>
      </w:r>
      <w:r w:rsidRPr="000735D1">
        <w:rPr>
          <w:rFonts w:asciiTheme="minorHAnsi" w:hAnsiTheme="minorHAnsi"/>
        </w:rPr>
        <w:t xml:space="preserve">to indicate </w:t>
      </w:r>
      <w:r w:rsidR="002F6274" w:rsidRPr="000735D1">
        <w:rPr>
          <w:rFonts w:asciiTheme="minorHAnsi" w:hAnsiTheme="minorHAnsi"/>
        </w:rPr>
        <w:t>increased risk</w:t>
      </w:r>
      <w:r w:rsidRPr="000735D1">
        <w:rPr>
          <w:rFonts w:asciiTheme="minorHAnsi" w:hAnsiTheme="minorHAnsi"/>
        </w:rPr>
        <w:t>,</w:t>
      </w:r>
      <w:r w:rsidR="002F6274" w:rsidRPr="000735D1">
        <w:rPr>
          <w:rFonts w:asciiTheme="minorHAnsi" w:hAnsiTheme="minorHAnsi"/>
        </w:rPr>
        <w:t xml:space="preserve"> requiring </w:t>
      </w:r>
      <w:r w:rsidRPr="000735D1">
        <w:rPr>
          <w:rFonts w:asciiTheme="minorHAnsi" w:hAnsiTheme="minorHAnsi"/>
        </w:rPr>
        <w:t>increase</w:t>
      </w:r>
      <w:r w:rsidR="002F6274" w:rsidRPr="000735D1">
        <w:rPr>
          <w:rFonts w:asciiTheme="minorHAnsi" w:hAnsiTheme="minorHAnsi"/>
        </w:rPr>
        <w:t>d</w:t>
      </w:r>
      <w:r w:rsidRPr="000735D1">
        <w:rPr>
          <w:rFonts w:asciiTheme="minorHAnsi" w:hAnsiTheme="minorHAnsi"/>
        </w:rPr>
        <w:t xml:space="preserve"> monitoring and initiat</w:t>
      </w:r>
      <w:r w:rsidR="002F6274" w:rsidRPr="000735D1">
        <w:rPr>
          <w:rFonts w:asciiTheme="minorHAnsi" w:hAnsiTheme="minorHAnsi"/>
        </w:rPr>
        <w:t>ing</w:t>
      </w:r>
      <w:r w:rsidRPr="000735D1">
        <w:rPr>
          <w:rFonts w:asciiTheme="minorHAnsi" w:hAnsiTheme="minorHAnsi"/>
        </w:rPr>
        <w:t xml:space="preserve"> communication with the borrower, before a default condition is incurred.</w:t>
      </w:r>
      <w:r w:rsidR="00570300" w:rsidRPr="000735D1">
        <w:rPr>
          <w:rFonts w:asciiTheme="minorHAnsi" w:hAnsiTheme="minorHAnsi"/>
        </w:rPr>
        <w:t xml:space="preserve"> The B</w:t>
      </w:r>
      <w:r w:rsidR="00D530F0" w:rsidRPr="000735D1">
        <w:rPr>
          <w:rFonts w:asciiTheme="minorHAnsi" w:hAnsiTheme="minorHAnsi"/>
        </w:rPr>
        <w:t>RR</w:t>
      </w:r>
      <w:r w:rsidR="00570300" w:rsidRPr="000735D1">
        <w:rPr>
          <w:rFonts w:asciiTheme="minorHAnsi" w:hAnsiTheme="minorHAnsi"/>
        </w:rPr>
        <w:t xml:space="preserve"> </w:t>
      </w:r>
      <w:r w:rsidR="003860C7" w:rsidRPr="000735D1">
        <w:rPr>
          <w:rFonts w:asciiTheme="minorHAnsi" w:hAnsiTheme="minorHAnsi"/>
        </w:rPr>
        <w:t>will</w:t>
      </w:r>
      <w:r w:rsidR="00570300" w:rsidRPr="000735D1">
        <w:rPr>
          <w:rFonts w:asciiTheme="minorHAnsi" w:hAnsiTheme="minorHAnsi"/>
        </w:rPr>
        <w:t xml:space="preserve"> be reviewed and downgraded, where warranted.</w:t>
      </w:r>
    </w:p>
    <w:p w14:paraId="3503ADD8" w14:textId="77777777" w:rsidR="00026276" w:rsidRPr="000735D1" w:rsidRDefault="00A10FB3" w:rsidP="000735D1">
      <w:pPr>
        <w:pStyle w:val="ListParagraph"/>
        <w:spacing w:before="120" w:after="60" w:line="276" w:lineRule="auto"/>
        <w:ind w:left="0"/>
        <w:contextualSpacing w:val="0"/>
        <w:jc w:val="both"/>
        <w:rPr>
          <w:rFonts w:asciiTheme="minorHAnsi" w:hAnsiTheme="minorHAnsi"/>
        </w:rPr>
      </w:pPr>
      <w:r w:rsidRPr="000735D1">
        <w:rPr>
          <w:rFonts w:asciiTheme="minorHAnsi" w:hAnsiTheme="minorHAnsi"/>
        </w:rPr>
        <w:t>Portfolio e</w:t>
      </w:r>
      <w:r w:rsidR="00026276" w:rsidRPr="000735D1">
        <w:rPr>
          <w:rFonts w:asciiTheme="minorHAnsi" w:hAnsiTheme="minorHAnsi"/>
        </w:rPr>
        <w:t xml:space="preserve">arly warning signals </w:t>
      </w:r>
      <w:r w:rsidR="003860C7" w:rsidRPr="000735D1">
        <w:rPr>
          <w:rFonts w:asciiTheme="minorHAnsi" w:hAnsiTheme="minorHAnsi"/>
        </w:rPr>
        <w:t>will</w:t>
      </w:r>
      <w:r w:rsidR="00026276" w:rsidRPr="000735D1">
        <w:rPr>
          <w:rFonts w:asciiTheme="minorHAnsi" w:hAnsiTheme="minorHAnsi"/>
        </w:rPr>
        <w:t xml:space="preserve"> be developed to trigger </w:t>
      </w:r>
      <w:r w:rsidR="00570300" w:rsidRPr="000735D1">
        <w:rPr>
          <w:rFonts w:asciiTheme="minorHAnsi" w:hAnsiTheme="minorHAnsi"/>
        </w:rPr>
        <w:t xml:space="preserve">analysis, monitoring and reporting, including any recommended </w:t>
      </w:r>
      <w:r w:rsidR="00026276" w:rsidRPr="000735D1">
        <w:rPr>
          <w:rFonts w:asciiTheme="minorHAnsi" w:hAnsiTheme="minorHAnsi"/>
        </w:rPr>
        <w:t xml:space="preserve">corrective action, and potentially </w:t>
      </w:r>
      <w:r w:rsidR="00570300" w:rsidRPr="000735D1">
        <w:rPr>
          <w:rFonts w:asciiTheme="minorHAnsi" w:hAnsiTheme="minorHAnsi"/>
        </w:rPr>
        <w:t xml:space="preserve">result in a model review of </w:t>
      </w:r>
      <w:r w:rsidR="00026276" w:rsidRPr="000735D1">
        <w:rPr>
          <w:rFonts w:asciiTheme="minorHAnsi" w:hAnsiTheme="minorHAnsi"/>
        </w:rPr>
        <w:t xml:space="preserve">collective allowances. </w:t>
      </w:r>
      <w:r w:rsidRPr="000735D1">
        <w:rPr>
          <w:rFonts w:asciiTheme="minorHAnsi" w:hAnsiTheme="minorHAnsi"/>
        </w:rPr>
        <w:t>E</w:t>
      </w:r>
      <w:r w:rsidR="00026276" w:rsidRPr="000735D1">
        <w:rPr>
          <w:rFonts w:asciiTheme="minorHAnsi" w:hAnsiTheme="minorHAnsi"/>
        </w:rPr>
        <w:t xml:space="preserve">arly warning signals could be based on </w:t>
      </w:r>
      <w:r w:rsidR="002F6274" w:rsidRPr="000735D1">
        <w:rPr>
          <w:rFonts w:asciiTheme="minorHAnsi" w:hAnsiTheme="minorHAnsi"/>
        </w:rPr>
        <w:t>internal indicators, such as a material increase in migration of B</w:t>
      </w:r>
      <w:r w:rsidR="00D530F0" w:rsidRPr="000735D1">
        <w:rPr>
          <w:rFonts w:asciiTheme="minorHAnsi" w:hAnsiTheme="minorHAnsi"/>
        </w:rPr>
        <w:t>RR</w:t>
      </w:r>
      <w:r w:rsidR="002F6274" w:rsidRPr="000735D1">
        <w:rPr>
          <w:rFonts w:asciiTheme="minorHAnsi" w:hAnsiTheme="minorHAnsi"/>
        </w:rPr>
        <w:t xml:space="preserve">; increased migration of delinquencies between 30-60 or 90-days or a specified percentage of delinquency or default on a portfolio or product basis. Early warning signals </w:t>
      </w:r>
      <w:r w:rsidR="003860C7" w:rsidRPr="000735D1">
        <w:rPr>
          <w:rFonts w:asciiTheme="minorHAnsi" w:hAnsiTheme="minorHAnsi"/>
        </w:rPr>
        <w:t>will</w:t>
      </w:r>
      <w:r w:rsidR="002F6274" w:rsidRPr="000735D1">
        <w:rPr>
          <w:rFonts w:asciiTheme="minorHAnsi" w:hAnsiTheme="minorHAnsi"/>
        </w:rPr>
        <w:t xml:space="preserve"> also be based on </w:t>
      </w:r>
      <w:r w:rsidR="00026276" w:rsidRPr="000735D1">
        <w:rPr>
          <w:rFonts w:asciiTheme="minorHAnsi" w:hAnsiTheme="minorHAnsi"/>
        </w:rPr>
        <w:t xml:space="preserve">external events, such as a specified increase in the unemployment rate or increase in </w:t>
      </w:r>
      <w:r w:rsidR="002F6274" w:rsidRPr="000735D1">
        <w:rPr>
          <w:rFonts w:asciiTheme="minorHAnsi" w:hAnsiTheme="minorHAnsi"/>
        </w:rPr>
        <w:t>interest</w:t>
      </w:r>
      <w:r w:rsidR="00026276" w:rsidRPr="000735D1">
        <w:rPr>
          <w:rFonts w:asciiTheme="minorHAnsi" w:hAnsiTheme="minorHAnsi"/>
        </w:rPr>
        <w:t xml:space="preserve"> rates.</w:t>
      </w:r>
    </w:p>
    <w:p w14:paraId="6931193F" w14:textId="77777777" w:rsidR="00026276" w:rsidRPr="00392020" w:rsidRDefault="00026276" w:rsidP="00392020">
      <w:pPr>
        <w:pStyle w:val="Heading1"/>
        <w:spacing w:line="276" w:lineRule="auto"/>
      </w:pPr>
      <w:bookmarkStart w:id="77" w:name="_Toc321901252"/>
      <w:bookmarkStart w:id="78" w:name="_Toc507416357"/>
      <w:r w:rsidRPr="00392020">
        <w:t>Reporting</w:t>
      </w:r>
      <w:bookmarkEnd w:id="77"/>
      <w:bookmarkEnd w:id="78"/>
    </w:p>
    <w:p w14:paraId="1BA287AA" w14:textId="77777777" w:rsidR="00026276" w:rsidRPr="000735D1" w:rsidRDefault="00026276" w:rsidP="000735D1">
      <w:pPr>
        <w:pStyle w:val="ListParagraph"/>
        <w:spacing w:before="120" w:after="60" w:line="276" w:lineRule="auto"/>
        <w:ind w:left="0"/>
        <w:contextualSpacing w:val="0"/>
        <w:jc w:val="both"/>
        <w:rPr>
          <w:rFonts w:asciiTheme="minorHAnsi" w:hAnsiTheme="minorHAnsi"/>
        </w:rPr>
      </w:pPr>
      <w:r w:rsidRPr="000735D1">
        <w:rPr>
          <w:rFonts w:asciiTheme="minorHAnsi" w:hAnsiTheme="minorHAnsi"/>
        </w:rPr>
        <w:t xml:space="preserve">Monthly </w:t>
      </w:r>
      <w:r w:rsidR="00570300" w:rsidRPr="000735D1">
        <w:rPr>
          <w:rFonts w:asciiTheme="minorHAnsi" w:hAnsiTheme="minorHAnsi"/>
        </w:rPr>
        <w:t xml:space="preserve">reporting to </w:t>
      </w:r>
      <w:r w:rsidR="00D530F0" w:rsidRPr="000735D1">
        <w:rPr>
          <w:rFonts w:asciiTheme="minorHAnsi" w:hAnsiTheme="minorHAnsi"/>
        </w:rPr>
        <w:t>Senior M</w:t>
      </w:r>
      <w:r w:rsidR="00570300" w:rsidRPr="000735D1">
        <w:rPr>
          <w:rFonts w:asciiTheme="minorHAnsi" w:hAnsiTheme="minorHAnsi"/>
        </w:rPr>
        <w:t xml:space="preserve">anagement and </w:t>
      </w:r>
      <w:r w:rsidRPr="000735D1">
        <w:rPr>
          <w:rFonts w:asciiTheme="minorHAnsi" w:hAnsiTheme="minorHAnsi"/>
        </w:rPr>
        <w:t xml:space="preserve">quarterly reporting </w:t>
      </w:r>
      <w:r w:rsidR="00570300" w:rsidRPr="000735D1">
        <w:rPr>
          <w:rFonts w:asciiTheme="minorHAnsi" w:hAnsiTheme="minorHAnsi"/>
        </w:rPr>
        <w:t xml:space="preserve">to the </w:t>
      </w:r>
      <w:r w:rsidR="00591393" w:rsidRPr="000735D1">
        <w:rPr>
          <w:rFonts w:asciiTheme="minorHAnsi" w:hAnsiTheme="minorHAnsi"/>
        </w:rPr>
        <w:t>Board (Risk)</w:t>
      </w:r>
      <w:r w:rsidR="00570300" w:rsidRPr="000735D1">
        <w:rPr>
          <w:rFonts w:asciiTheme="minorHAnsi" w:hAnsiTheme="minorHAnsi"/>
        </w:rPr>
        <w:t xml:space="preserve"> Committee </w:t>
      </w:r>
      <w:r w:rsidR="003860C7" w:rsidRPr="000735D1">
        <w:rPr>
          <w:rFonts w:asciiTheme="minorHAnsi" w:hAnsiTheme="minorHAnsi"/>
        </w:rPr>
        <w:t>will</w:t>
      </w:r>
      <w:r w:rsidRPr="000735D1">
        <w:rPr>
          <w:rFonts w:asciiTheme="minorHAnsi" w:hAnsiTheme="minorHAnsi"/>
        </w:rPr>
        <w:t xml:space="preserve"> include </w:t>
      </w:r>
      <w:r w:rsidR="002F6274" w:rsidRPr="000735D1">
        <w:rPr>
          <w:rFonts w:asciiTheme="minorHAnsi" w:hAnsiTheme="minorHAnsi"/>
        </w:rPr>
        <w:t xml:space="preserve">quantitative data on </w:t>
      </w:r>
      <w:r w:rsidRPr="000735D1">
        <w:rPr>
          <w:rFonts w:asciiTheme="minorHAnsi" w:hAnsiTheme="minorHAnsi"/>
        </w:rPr>
        <w:t>current positions and trending</w:t>
      </w:r>
      <w:r w:rsidR="002F6274" w:rsidRPr="000735D1">
        <w:rPr>
          <w:rFonts w:asciiTheme="minorHAnsi" w:hAnsiTheme="minorHAnsi"/>
        </w:rPr>
        <w:t xml:space="preserve">, </w:t>
      </w:r>
      <w:r w:rsidR="00570300" w:rsidRPr="000735D1">
        <w:rPr>
          <w:rFonts w:asciiTheme="minorHAnsi" w:hAnsiTheme="minorHAnsi"/>
        </w:rPr>
        <w:t xml:space="preserve">relative to stated risk tolerances </w:t>
      </w:r>
      <w:r w:rsidR="002F6274" w:rsidRPr="000735D1">
        <w:rPr>
          <w:rFonts w:asciiTheme="minorHAnsi" w:hAnsiTheme="minorHAnsi"/>
        </w:rPr>
        <w:t>as well as qualitative information, including corrective action, where appropriate.</w:t>
      </w:r>
      <w:r w:rsidR="00F17AA1" w:rsidRPr="000735D1">
        <w:rPr>
          <w:rFonts w:asciiTheme="minorHAnsi" w:hAnsiTheme="minorHAnsi"/>
        </w:rPr>
        <w:t xml:space="preserve"> These reports include out of order, watch list, and impaired loans, with relative risk toleran</w:t>
      </w:r>
      <w:r w:rsidR="000735D1">
        <w:rPr>
          <w:rFonts w:asciiTheme="minorHAnsi" w:hAnsiTheme="minorHAnsi"/>
        </w:rPr>
        <w:t>ce statistics and benchmarks.</w:t>
      </w:r>
    </w:p>
    <w:p w14:paraId="453B4F50" w14:textId="77777777" w:rsidR="00026276" w:rsidRPr="00392020" w:rsidRDefault="00026276" w:rsidP="00392020">
      <w:pPr>
        <w:pStyle w:val="Heading1"/>
        <w:spacing w:line="276" w:lineRule="auto"/>
      </w:pPr>
      <w:bookmarkStart w:id="79" w:name="_Toc321901253"/>
      <w:bookmarkStart w:id="80" w:name="_Toc507416358"/>
      <w:r w:rsidRPr="00392020">
        <w:t>Effective Date</w:t>
      </w:r>
      <w:bookmarkEnd w:id="79"/>
      <w:bookmarkEnd w:id="80"/>
    </w:p>
    <w:p w14:paraId="0F5E7FA4" w14:textId="77777777" w:rsidR="00026276" w:rsidRPr="00705782" w:rsidRDefault="00026276" w:rsidP="000735D1">
      <w:pPr>
        <w:pStyle w:val="ListParagraph"/>
        <w:spacing w:before="120" w:after="60" w:line="276" w:lineRule="auto"/>
        <w:ind w:left="0"/>
        <w:contextualSpacing w:val="0"/>
        <w:jc w:val="both"/>
        <w:rPr>
          <w:rFonts w:asciiTheme="minorHAnsi" w:hAnsiTheme="minorHAnsi"/>
        </w:rPr>
      </w:pPr>
      <w:r w:rsidRPr="00705782">
        <w:rPr>
          <w:rFonts w:asciiTheme="minorHAnsi" w:hAnsiTheme="minorHAnsi"/>
        </w:rPr>
        <w:t xml:space="preserve">This </w:t>
      </w:r>
      <w:r w:rsidR="004F410A" w:rsidRPr="00705782">
        <w:rPr>
          <w:rFonts w:asciiTheme="minorHAnsi" w:hAnsiTheme="minorHAnsi"/>
        </w:rPr>
        <w:t xml:space="preserve">Board </w:t>
      </w:r>
      <w:r w:rsidRPr="00705782">
        <w:rPr>
          <w:rFonts w:asciiTheme="minorHAnsi" w:hAnsiTheme="minorHAnsi"/>
        </w:rPr>
        <w:t xml:space="preserve">Credit Risk Management Policy is effective upon approval by the Board </w:t>
      </w:r>
      <w:r w:rsidR="00D45974" w:rsidRPr="00705782">
        <w:rPr>
          <w:rFonts w:asciiTheme="minorHAnsi" w:hAnsiTheme="minorHAnsi"/>
        </w:rPr>
        <w:t xml:space="preserve">of Directors </w:t>
      </w:r>
      <w:r w:rsidRPr="00705782">
        <w:rPr>
          <w:rFonts w:asciiTheme="minorHAnsi" w:hAnsiTheme="minorHAnsi"/>
        </w:rPr>
        <w:t>and subject to annual review.</w:t>
      </w:r>
    </w:p>
    <w:p w14:paraId="3753664F" w14:textId="77777777" w:rsidR="00705782" w:rsidRPr="00705782" w:rsidRDefault="00705782">
      <w:pPr>
        <w:rPr>
          <w:rFonts w:asciiTheme="minorHAnsi" w:hAnsiTheme="minorHAnsi"/>
          <w:bCs/>
          <w:kern w:val="32"/>
          <w:szCs w:val="22"/>
        </w:rPr>
      </w:pPr>
      <w:bookmarkStart w:id="81" w:name="_Toc321901254"/>
      <w:r>
        <w:br w:type="page"/>
      </w:r>
    </w:p>
    <w:p w14:paraId="1588B33A" w14:textId="77777777" w:rsidR="00026276" w:rsidRPr="00392020" w:rsidRDefault="00026276" w:rsidP="000735D1">
      <w:pPr>
        <w:pStyle w:val="Heading1"/>
      </w:pPr>
      <w:bookmarkStart w:id="82" w:name="_Toc507416359"/>
      <w:r w:rsidRPr="00392020">
        <w:lastRenderedPageBreak/>
        <w:t>References</w:t>
      </w:r>
      <w:bookmarkEnd w:id="81"/>
      <w:bookmarkEnd w:id="82"/>
    </w:p>
    <w:p w14:paraId="38507955" w14:textId="77777777" w:rsidR="00026276" w:rsidRPr="000735D1" w:rsidRDefault="00026276" w:rsidP="000735D1">
      <w:pPr>
        <w:spacing w:before="120" w:after="60" w:line="276" w:lineRule="auto"/>
        <w:contextualSpacing/>
        <w:rPr>
          <w:rFonts w:asciiTheme="minorHAnsi" w:hAnsiTheme="minorHAnsi"/>
          <w:szCs w:val="22"/>
        </w:rPr>
      </w:pPr>
      <w:r w:rsidRPr="000735D1">
        <w:rPr>
          <w:rFonts w:asciiTheme="minorHAnsi" w:hAnsiTheme="minorHAnsi"/>
          <w:szCs w:val="22"/>
        </w:rPr>
        <w:t xml:space="preserve">The Credit Union Act </w:t>
      </w:r>
      <w:r w:rsidR="00530077" w:rsidRPr="000735D1">
        <w:rPr>
          <w:rFonts w:asciiTheme="minorHAnsi" w:hAnsiTheme="minorHAnsi"/>
          <w:szCs w:val="22"/>
        </w:rPr>
        <w:t xml:space="preserve">- </w:t>
      </w:r>
      <w:r w:rsidRPr="000735D1">
        <w:rPr>
          <w:rFonts w:asciiTheme="minorHAnsi" w:hAnsiTheme="minorHAnsi"/>
          <w:szCs w:val="22"/>
        </w:rPr>
        <w:t>Alberta</w:t>
      </w:r>
    </w:p>
    <w:p w14:paraId="024B93BD" w14:textId="77777777" w:rsidR="00026276" w:rsidRPr="000735D1" w:rsidRDefault="00026276"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 xml:space="preserve">The Credit Union </w:t>
      </w:r>
      <w:r w:rsidR="00530077" w:rsidRPr="000735D1">
        <w:rPr>
          <w:rFonts w:asciiTheme="minorHAnsi" w:hAnsiTheme="minorHAnsi"/>
          <w:szCs w:val="22"/>
        </w:rPr>
        <w:t>(</w:t>
      </w:r>
      <w:r w:rsidRPr="000735D1">
        <w:rPr>
          <w:rFonts w:asciiTheme="minorHAnsi" w:hAnsiTheme="minorHAnsi"/>
          <w:szCs w:val="22"/>
        </w:rPr>
        <w:t>Principal</w:t>
      </w:r>
      <w:r w:rsidR="00530077" w:rsidRPr="000735D1">
        <w:rPr>
          <w:rFonts w:asciiTheme="minorHAnsi" w:hAnsiTheme="minorHAnsi"/>
          <w:szCs w:val="22"/>
        </w:rPr>
        <w:t>)</w:t>
      </w:r>
      <w:r w:rsidRPr="000735D1">
        <w:rPr>
          <w:rFonts w:asciiTheme="minorHAnsi" w:hAnsiTheme="minorHAnsi"/>
          <w:szCs w:val="22"/>
        </w:rPr>
        <w:t xml:space="preserve"> Regulations</w:t>
      </w:r>
    </w:p>
    <w:p w14:paraId="286F75AE" w14:textId="77777777" w:rsidR="00F512BC" w:rsidRPr="000735D1" w:rsidRDefault="00F512BC"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The Credit Union (Ministerial) Regulations</w:t>
      </w:r>
    </w:p>
    <w:p w14:paraId="57025AA5" w14:textId="77777777" w:rsidR="00D97E7A" w:rsidRPr="000735D1" w:rsidRDefault="00D97E7A"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Credit Union Deposit Guarantee Corporation Standards of Sound Business and Financial Practices</w:t>
      </w:r>
    </w:p>
    <w:p w14:paraId="105C52E5" w14:textId="77777777" w:rsidR="00026276" w:rsidRPr="000735D1" w:rsidRDefault="00026276"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Credit Union Deposit Guarantee Corporation Lending Guidelines, including:</w:t>
      </w:r>
    </w:p>
    <w:p w14:paraId="40E4E4B2"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Connection Rule and Direct Obligations</w:t>
      </w:r>
    </w:p>
    <w:p w14:paraId="282661C6"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Borrower Risk Rating</w:t>
      </w:r>
    </w:p>
    <w:p w14:paraId="6381ABFD"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Higher Risk Loans</w:t>
      </w:r>
    </w:p>
    <w:p w14:paraId="00AFF88F"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Loans to Directors and Employees</w:t>
      </w:r>
    </w:p>
    <w:p w14:paraId="79DF2BC9"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Nonperforming/Doubtful Loans</w:t>
      </w:r>
    </w:p>
    <w:p w14:paraId="019FB3D0"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Syndication of Loans/ Loan Participation</w:t>
      </w:r>
    </w:p>
    <w:p w14:paraId="66C1DFE4"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Credit Reviews</w:t>
      </w:r>
    </w:p>
    <w:p w14:paraId="36B729E9"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Standard Terms and Conditions</w:t>
      </w:r>
    </w:p>
    <w:p w14:paraId="2BCFAD28" w14:textId="77777777" w:rsidR="00026276" w:rsidRPr="000735D1" w:rsidRDefault="00026276" w:rsidP="000735D1">
      <w:pPr>
        <w:spacing w:before="120" w:after="60" w:line="276" w:lineRule="auto"/>
        <w:ind w:left="288"/>
        <w:contextualSpacing/>
        <w:jc w:val="both"/>
        <w:rPr>
          <w:rFonts w:asciiTheme="minorHAnsi" w:hAnsiTheme="minorHAnsi"/>
          <w:szCs w:val="22"/>
        </w:rPr>
      </w:pPr>
      <w:r w:rsidRPr="000735D1">
        <w:rPr>
          <w:rFonts w:asciiTheme="minorHAnsi" w:hAnsiTheme="minorHAnsi"/>
          <w:szCs w:val="22"/>
        </w:rPr>
        <w:t>Consumer lending Criteria and Debt Service Capacity Calculations</w:t>
      </w:r>
    </w:p>
    <w:p w14:paraId="5932A561" w14:textId="77777777" w:rsidR="00026276" w:rsidRPr="000735D1" w:rsidRDefault="00026276"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Office of the Superintendent of Financial Institutions:</w:t>
      </w:r>
    </w:p>
    <w:p w14:paraId="06FF6FE1"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 xml:space="preserve">OSFI B1 </w:t>
      </w:r>
      <w:r w:rsidR="00C76574" w:rsidRPr="000735D1">
        <w:rPr>
          <w:rFonts w:asciiTheme="minorHAnsi" w:hAnsiTheme="minorHAnsi"/>
          <w:szCs w:val="22"/>
        </w:rPr>
        <w:tab/>
      </w:r>
      <w:r w:rsidR="00EC4DCC" w:rsidRPr="000735D1">
        <w:rPr>
          <w:rFonts w:asciiTheme="minorHAnsi" w:hAnsiTheme="minorHAnsi"/>
          <w:szCs w:val="22"/>
        </w:rPr>
        <w:tab/>
      </w:r>
      <w:r w:rsidRPr="000735D1">
        <w:rPr>
          <w:rFonts w:asciiTheme="minorHAnsi" w:hAnsiTheme="minorHAnsi"/>
          <w:szCs w:val="22"/>
        </w:rPr>
        <w:t>Prudent Person Approach</w:t>
      </w:r>
    </w:p>
    <w:p w14:paraId="1073C4F6" w14:textId="77777777" w:rsidR="00026276" w:rsidRPr="000735D1" w:rsidRDefault="00026276"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OSFI B2</w:t>
      </w:r>
      <w:r w:rsidR="00C76574" w:rsidRPr="000735D1">
        <w:rPr>
          <w:rFonts w:asciiTheme="minorHAnsi" w:hAnsiTheme="minorHAnsi"/>
          <w:szCs w:val="22"/>
        </w:rPr>
        <w:tab/>
      </w:r>
      <w:r w:rsidR="00EC4DCC" w:rsidRPr="000735D1">
        <w:rPr>
          <w:rFonts w:asciiTheme="minorHAnsi" w:hAnsiTheme="minorHAnsi"/>
          <w:szCs w:val="22"/>
        </w:rPr>
        <w:tab/>
      </w:r>
      <w:r w:rsidRPr="000735D1">
        <w:rPr>
          <w:rFonts w:asciiTheme="minorHAnsi" w:hAnsiTheme="minorHAnsi"/>
          <w:szCs w:val="22"/>
        </w:rPr>
        <w:t>Large Exposure Limits</w:t>
      </w:r>
    </w:p>
    <w:p w14:paraId="4457CA03" w14:textId="77777777" w:rsidR="00C12945" w:rsidRPr="000735D1" w:rsidRDefault="00C12945" w:rsidP="000735D1">
      <w:pPr>
        <w:spacing w:before="120" w:after="60" w:line="276" w:lineRule="auto"/>
        <w:ind w:left="284"/>
        <w:contextualSpacing/>
        <w:jc w:val="both"/>
        <w:rPr>
          <w:rFonts w:asciiTheme="minorHAnsi" w:hAnsiTheme="minorHAnsi"/>
          <w:szCs w:val="22"/>
        </w:rPr>
      </w:pPr>
      <w:r w:rsidRPr="000735D1">
        <w:rPr>
          <w:rFonts w:asciiTheme="minorHAnsi" w:hAnsiTheme="minorHAnsi"/>
          <w:szCs w:val="22"/>
        </w:rPr>
        <w:t>OSFI B20</w:t>
      </w:r>
      <w:r w:rsidRPr="000735D1">
        <w:rPr>
          <w:rFonts w:asciiTheme="minorHAnsi" w:hAnsiTheme="minorHAnsi"/>
          <w:szCs w:val="22"/>
        </w:rPr>
        <w:tab/>
      </w:r>
      <w:r w:rsidR="00EC4DCC" w:rsidRPr="000735D1">
        <w:rPr>
          <w:rFonts w:asciiTheme="minorHAnsi" w:hAnsiTheme="minorHAnsi"/>
          <w:szCs w:val="22"/>
        </w:rPr>
        <w:tab/>
      </w:r>
      <w:r w:rsidRPr="000735D1">
        <w:rPr>
          <w:rFonts w:asciiTheme="minorHAnsi" w:hAnsiTheme="minorHAnsi"/>
          <w:szCs w:val="22"/>
        </w:rPr>
        <w:t>Residential Mortgage Underwriting Practices and Procedures</w:t>
      </w:r>
    </w:p>
    <w:p w14:paraId="76EDBB37" w14:textId="77777777" w:rsidR="00026276" w:rsidRPr="000735D1" w:rsidRDefault="00D222C3" w:rsidP="000735D1">
      <w:pPr>
        <w:spacing w:before="120" w:after="60" w:line="276" w:lineRule="auto"/>
        <w:ind w:left="288"/>
        <w:contextualSpacing/>
        <w:jc w:val="both"/>
        <w:rPr>
          <w:rFonts w:asciiTheme="minorHAnsi" w:hAnsiTheme="minorHAnsi"/>
          <w:szCs w:val="22"/>
        </w:rPr>
      </w:pPr>
      <w:r w:rsidRPr="000735D1">
        <w:rPr>
          <w:rFonts w:asciiTheme="minorHAnsi" w:hAnsiTheme="minorHAnsi"/>
          <w:szCs w:val="22"/>
        </w:rPr>
        <w:t>OSFI IFRS</w:t>
      </w:r>
      <w:r w:rsidR="00415F2B" w:rsidRPr="000735D1">
        <w:rPr>
          <w:rFonts w:asciiTheme="minorHAnsi" w:hAnsiTheme="minorHAnsi"/>
          <w:szCs w:val="22"/>
        </w:rPr>
        <w:t xml:space="preserve"> 9 </w:t>
      </w:r>
      <w:r w:rsidR="00EC4DCC" w:rsidRPr="000735D1">
        <w:rPr>
          <w:rFonts w:asciiTheme="minorHAnsi" w:hAnsiTheme="minorHAnsi"/>
          <w:szCs w:val="22"/>
        </w:rPr>
        <w:tab/>
      </w:r>
      <w:r w:rsidR="00415F2B" w:rsidRPr="000735D1">
        <w:rPr>
          <w:rFonts w:asciiTheme="minorHAnsi" w:hAnsiTheme="minorHAnsi"/>
          <w:szCs w:val="22"/>
        </w:rPr>
        <w:t>Financial Instruments and Disclosures</w:t>
      </w:r>
    </w:p>
    <w:p w14:paraId="19341CED" w14:textId="77777777" w:rsidR="00026276" w:rsidRPr="000735D1" w:rsidRDefault="00026276"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Bank of International Settlements</w:t>
      </w:r>
      <w:r w:rsidR="00530077" w:rsidRPr="000735D1">
        <w:rPr>
          <w:rFonts w:asciiTheme="minorHAnsi" w:hAnsiTheme="minorHAnsi"/>
          <w:szCs w:val="22"/>
        </w:rPr>
        <w:t>, Basel Committee on Banking Supervision</w:t>
      </w:r>
      <w:r w:rsidRPr="000735D1">
        <w:rPr>
          <w:rFonts w:asciiTheme="minorHAnsi" w:hAnsiTheme="minorHAnsi"/>
          <w:szCs w:val="22"/>
        </w:rPr>
        <w:t>:</w:t>
      </w:r>
    </w:p>
    <w:p w14:paraId="7F4671F5" w14:textId="77777777" w:rsidR="00026276" w:rsidRPr="000735D1" w:rsidRDefault="00026276"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BIS Principles for Management of Credit Risk (</w:t>
      </w:r>
      <w:r w:rsidR="00530077" w:rsidRPr="000735D1">
        <w:rPr>
          <w:rFonts w:asciiTheme="minorHAnsi" w:hAnsiTheme="minorHAnsi"/>
          <w:szCs w:val="22"/>
        </w:rPr>
        <w:t>2000</w:t>
      </w:r>
      <w:r w:rsidRPr="000735D1">
        <w:rPr>
          <w:rFonts w:asciiTheme="minorHAnsi" w:hAnsiTheme="minorHAnsi"/>
          <w:szCs w:val="22"/>
        </w:rPr>
        <w:t>)</w:t>
      </w:r>
    </w:p>
    <w:p w14:paraId="4C8EB73E" w14:textId="77777777" w:rsidR="00C76574" w:rsidRPr="000735D1" w:rsidRDefault="00C76574" w:rsidP="000735D1">
      <w:pPr>
        <w:spacing w:before="120" w:after="60" w:line="276" w:lineRule="auto"/>
        <w:contextualSpacing/>
        <w:jc w:val="both"/>
        <w:rPr>
          <w:rFonts w:asciiTheme="minorHAnsi" w:hAnsiTheme="minorHAnsi"/>
          <w:szCs w:val="22"/>
        </w:rPr>
      </w:pPr>
      <w:r w:rsidRPr="000735D1">
        <w:rPr>
          <w:rFonts w:asciiTheme="minorHAnsi" w:hAnsiTheme="minorHAnsi"/>
          <w:szCs w:val="22"/>
        </w:rPr>
        <w:t xml:space="preserve">BIS Principles for Sound Stress Testing Practices and Supervision </w:t>
      </w:r>
      <w:r w:rsidR="00E020B7" w:rsidRPr="000735D1">
        <w:rPr>
          <w:rFonts w:asciiTheme="minorHAnsi" w:hAnsiTheme="minorHAnsi"/>
          <w:szCs w:val="22"/>
        </w:rPr>
        <w:t>(</w:t>
      </w:r>
      <w:r w:rsidRPr="000735D1">
        <w:rPr>
          <w:rFonts w:asciiTheme="minorHAnsi" w:hAnsiTheme="minorHAnsi"/>
          <w:szCs w:val="22"/>
        </w:rPr>
        <w:t>2009</w:t>
      </w:r>
      <w:r w:rsidR="00E020B7" w:rsidRPr="000735D1">
        <w:rPr>
          <w:rFonts w:asciiTheme="minorHAnsi" w:hAnsiTheme="minorHAnsi"/>
          <w:szCs w:val="22"/>
        </w:rPr>
        <w:t>)</w:t>
      </w:r>
    </w:p>
    <w:p w14:paraId="1A18AD74" w14:textId="77777777" w:rsidR="00463FF3" w:rsidRPr="00392020" w:rsidRDefault="00463FF3" w:rsidP="00392020">
      <w:pPr>
        <w:pStyle w:val="Heading1"/>
        <w:spacing w:line="276" w:lineRule="auto"/>
      </w:pPr>
      <w:bookmarkStart w:id="83" w:name="_Toc507416360"/>
      <w:r w:rsidRPr="00392020">
        <w:t>Abbreviation</w:t>
      </w:r>
      <w:r w:rsidR="000735D1">
        <w:t>s</w:t>
      </w:r>
      <w:bookmarkEnd w:id="83"/>
    </w:p>
    <w:p w14:paraId="3FC2EC25" w14:textId="77777777" w:rsidR="006A456F" w:rsidRPr="00705782" w:rsidRDefault="006A456F" w:rsidP="00705782">
      <w:pPr>
        <w:spacing w:before="120" w:after="60" w:line="276" w:lineRule="auto"/>
        <w:contextualSpacing/>
        <w:rPr>
          <w:rFonts w:asciiTheme="minorHAnsi" w:hAnsiTheme="minorHAnsi"/>
          <w:szCs w:val="22"/>
        </w:rPr>
      </w:pPr>
      <w:r w:rsidRPr="00705782">
        <w:rPr>
          <w:rFonts w:asciiTheme="minorHAnsi" w:hAnsiTheme="minorHAnsi"/>
          <w:szCs w:val="22"/>
        </w:rPr>
        <w:t>Basel:</w:t>
      </w:r>
      <w:r w:rsidRPr="00705782">
        <w:rPr>
          <w:rFonts w:asciiTheme="minorHAnsi" w:hAnsiTheme="minorHAnsi"/>
          <w:szCs w:val="22"/>
        </w:rPr>
        <w:tab/>
      </w:r>
      <w:r w:rsidRPr="00705782">
        <w:rPr>
          <w:rFonts w:asciiTheme="minorHAnsi" w:hAnsiTheme="minorHAnsi"/>
          <w:szCs w:val="22"/>
        </w:rPr>
        <w:tab/>
        <w:t>Basel Committee on Banking Supervision</w:t>
      </w:r>
    </w:p>
    <w:p w14:paraId="33EA1957" w14:textId="77777777" w:rsidR="006A456F" w:rsidRPr="00705782" w:rsidRDefault="006A456F" w:rsidP="00705782">
      <w:pPr>
        <w:spacing w:before="120" w:after="60" w:line="276" w:lineRule="auto"/>
        <w:contextualSpacing/>
        <w:rPr>
          <w:rFonts w:asciiTheme="minorHAnsi" w:hAnsiTheme="minorHAnsi"/>
          <w:szCs w:val="22"/>
        </w:rPr>
      </w:pPr>
      <w:r w:rsidRPr="00705782">
        <w:rPr>
          <w:rFonts w:asciiTheme="minorHAnsi" w:hAnsiTheme="minorHAnsi"/>
          <w:szCs w:val="22"/>
        </w:rPr>
        <w:t>BIS:</w:t>
      </w:r>
      <w:r w:rsidRPr="00705782">
        <w:rPr>
          <w:rFonts w:asciiTheme="minorHAnsi" w:hAnsiTheme="minorHAnsi"/>
          <w:szCs w:val="22"/>
        </w:rPr>
        <w:tab/>
      </w:r>
      <w:r w:rsidRPr="00705782">
        <w:rPr>
          <w:rFonts w:asciiTheme="minorHAnsi" w:hAnsiTheme="minorHAnsi"/>
          <w:szCs w:val="22"/>
        </w:rPr>
        <w:tab/>
        <w:t>Bank for International Settlements</w:t>
      </w:r>
    </w:p>
    <w:p w14:paraId="36DAE68A" w14:textId="77777777" w:rsidR="002C4CC4" w:rsidRPr="00705782" w:rsidRDefault="002C4CC4" w:rsidP="00705782">
      <w:pPr>
        <w:spacing w:before="120" w:after="60" w:line="276" w:lineRule="auto"/>
        <w:contextualSpacing/>
        <w:rPr>
          <w:rFonts w:asciiTheme="minorHAnsi" w:hAnsiTheme="minorHAnsi"/>
          <w:szCs w:val="22"/>
        </w:rPr>
      </w:pPr>
      <w:r w:rsidRPr="00705782">
        <w:rPr>
          <w:rFonts w:asciiTheme="minorHAnsi" w:hAnsiTheme="minorHAnsi"/>
          <w:szCs w:val="22"/>
        </w:rPr>
        <w:t>BP:</w:t>
      </w:r>
      <w:r w:rsidRPr="00705782">
        <w:rPr>
          <w:rFonts w:asciiTheme="minorHAnsi" w:hAnsiTheme="minorHAnsi"/>
          <w:szCs w:val="22"/>
        </w:rPr>
        <w:tab/>
      </w:r>
      <w:r w:rsidRPr="00705782">
        <w:rPr>
          <w:rFonts w:asciiTheme="minorHAnsi" w:hAnsiTheme="minorHAnsi"/>
          <w:szCs w:val="22"/>
        </w:rPr>
        <w:tab/>
        <w:t>Basis Point (100 BPS = 1%)</w:t>
      </w:r>
    </w:p>
    <w:p w14:paraId="06CAFE00"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BRR:</w:t>
      </w:r>
      <w:r w:rsidRPr="00705782">
        <w:rPr>
          <w:rFonts w:asciiTheme="minorHAnsi" w:hAnsiTheme="minorHAnsi"/>
          <w:szCs w:val="22"/>
        </w:rPr>
        <w:tab/>
      </w:r>
      <w:r w:rsidRPr="00705782">
        <w:rPr>
          <w:rFonts w:asciiTheme="minorHAnsi" w:hAnsiTheme="minorHAnsi"/>
          <w:szCs w:val="22"/>
        </w:rPr>
        <w:tab/>
        <w:t>Borrowers Risk Rating</w:t>
      </w:r>
    </w:p>
    <w:p w14:paraId="347EEC84"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CAFT:</w:t>
      </w:r>
      <w:r w:rsidRPr="00705782">
        <w:rPr>
          <w:rFonts w:asciiTheme="minorHAnsi" w:hAnsiTheme="minorHAnsi"/>
          <w:szCs w:val="22"/>
        </w:rPr>
        <w:tab/>
      </w:r>
      <w:r w:rsidRPr="00705782">
        <w:rPr>
          <w:rFonts w:asciiTheme="minorHAnsi" w:hAnsiTheme="minorHAnsi"/>
          <w:szCs w:val="22"/>
        </w:rPr>
        <w:tab/>
        <w:t>Customer Automated Funds Transfer</w:t>
      </w:r>
    </w:p>
    <w:p w14:paraId="0444455F" w14:textId="77777777" w:rsidR="00CA5346" w:rsidRPr="00705782" w:rsidRDefault="00D935A8" w:rsidP="00705782">
      <w:pPr>
        <w:spacing w:before="120" w:after="60" w:line="276" w:lineRule="auto"/>
        <w:contextualSpacing/>
        <w:rPr>
          <w:rFonts w:asciiTheme="minorHAnsi" w:hAnsiTheme="minorHAnsi"/>
          <w:szCs w:val="22"/>
        </w:rPr>
      </w:pPr>
      <w:r w:rsidRPr="00705782">
        <w:rPr>
          <w:rFonts w:asciiTheme="minorHAnsi" w:hAnsiTheme="minorHAnsi"/>
          <w:szCs w:val="22"/>
        </w:rPr>
        <w:t>CREA:</w:t>
      </w:r>
      <w:r w:rsidR="00CA5346" w:rsidRPr="00705782">
        <w:rPr>
          <w:rFonts w:asciiTheme="minorHAnsi" w:hAnsiTheme="minorHAnsi"/>
          <w:szCs w:val="22"/>
        </w:rPr>
        <w:tab/>
      </w:r>
      <w:r w:rsidR="00C1606C" w:rsidRPr="00705782">
        <w:rPr>
          <w:rFonts w:asciiTheme="minorHAnsi" w:hAnsiTheme="minorHAnsi"/>
          <w:szCs w:val="22"/>
        </w:rPr>
        <w:tab/>
      </w:r>
      <w:r w:rsidR="00CA5346" w:rsidRPr="00705782">
        <w:rPr>
          <w:rFonts w:asciiTheme="minorHAnsi" w:hAnsiTheme="minorHAnsi"/>
          <w:szCs w:val="22"/>
        </w:rPr>
        <w:t>Commercial Real Estate</w:t>
      </w:r>
    </w:p>
    <w:p w14:paraId="4A25F094"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CUDGC:</w:t>
      </w:r>
      <w:r w:rsidRPr="00705782">
        <w:rPr>
          <w:rFonts w:asciiTheme="minorHAnsi" w:hAnsiTheme="minorHAnsi"/>
          <w:szCs w:val="22"/>
        </w:rPr>
        <w:tab/>
        <w:t>Credit Union Deposit Guarantee Corporation</w:t>
      </w:r>
    </w:p>
    <w:p w14:paraId="2C8B37E8"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CRMP:</w:t>
      </w:r>
      <w:r w:rsidRPr="00705782">
        <w:rPr>
          <w:rFonts w:asciiTheme="minorHAnsi" w:hAnsiTheme="minorHAnsi"/>
          <w:szCs w:val="22"/>
        </w:rPr>
        <w:tab/>
      </w:r>
      <w:r w:rsidR="00C1606C" w:rsidRPr="00705782">
        <w:rPr>
          <w:rFonts w:asciiTheme="minorHAnsi" w:hAnsiTheme="minorHAnsi"/>
          <w:szCs w:val="22"/>
        </w:rPr>
        <w:tab/>
      </w:r>
      <w:r w:rsidRPr="00705782">
        <w:rPr>
          <w:rFonts w:asciiTheme="minorHAnsi" w:hAnsiTheme="minorHAnsi"/>
          <w:szCs w:val="22"/>
        </w:rPr>
        <w:t>Credit Risk Management Policy</w:t>
      </w:r>
    </w:p>
    <w:p w14:paraId="73EC8676"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 xml:space="preserve">CRMMP: </w:t>
      </w:r>
      <w:r w:rsidRPr="00705782">
        <w:rPr>
          <w:rFonts w:asciiTheme="minorHAnsi" w:hAnsiTheme="minorHAnsi"/>
          <w:szCs w:val="22"/>
        </w:rPr>
        <w:tab/>
        <w:t>Credit Risk Management Model Policy</w:t>
      </w:r>
    </w:p>
    <w:p w14:paraId="53EF4C23"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ERM:</w:t>
      </w:r>
      <w:r w:rsidRPr="00705782">
        <w:rPr>
          <w:rFonts w:asciiTheme="minorHAnsi" w:hAnsiTheme="minorHAnsi"/>
          <w:szCs w:val="22"/>
        </w:rPr>
        <w:tab/>
      </w:r>
      <w:r w:rsidRPr="00705782">
        <w:rPr>
          <w:rFonts w:asciiTheme="minorHAnsi" w:hAnsiTheme="minorHAnsi"/>
          <w:szCs w:val="22"/>
        </w:rPr>
        <w:tab/>
        <w:t>Enterprise Risk Management</w:t>
      </w:r>
    </w:p>
    <w:p w14:paraId="1E48AA84" w14:textId="77777777" w:rsidR="0062335A" w:rsidRPr="00705782" w:rsidRDefault="0062335A" w:rsidP="00705782">
      <w:pPr>
        <w:spacing w:before="120" w:after="60" w:line="276" w:lineRule="auto"/>
        <w:contextualSpacing/>
        <w:rPr>
          <w:rFonts w:asciiTheme="minorHAnsi" w:hAnsiTheme="minorHAnsi"/>
          <w:szCs w:val="22"/>
        </w:rPr>
      </w:pPr>
      <w:r w:rsidRPr="00705782">
        <w:rPr>
          <w:rFonts w:asciiTheme="minorHAnsi" w:hAnsiTheme="minorHAnsi"/>
          <w:szCs w:val="22"/>
        </w:rPr>
        <w:t>EWS:</w:t>
      </w:r>
      <w:r w:rsidRPr="00705782">
        <w:rPr>
          <w:rFonts w:asciiTheme="minorHAnsi" w:hAnsiTheme="minorHAnsi"/>
          <w:szCs w:val="22"/>
        </w:rPr>
        <w:tab/>
      </w:r>
      <w:r w:rsidRPr="00705782">
        <w:rPr>
          <w:rFonts w:asciiTheme="minorHAnsi" w:hAnsiTheme="minorHAnsi"/>
          <w:szCs w:val="22"/>
        </w:rPr>
        <w:tab/>
        <w:t>Early Warning Signals</w:t>
      </w:r>
    </w:p>
    <w:p w14:paraId="64C24E96" w14:textId="77777777" w:rsidR="0062335A" w:rsidRPr="00705782" w:rsidRDefault="0062335A" w:rsidP="00705782">
      <w:pPr>
        <w:spacing w:before="120" w:after="60" w:line="276" w:lineRule="auto"/>
        <w:contextualSpacing/>
        <w:rPr>
          <w:rFonts w:asciiTheme="minorHAnsi" w:hAnsiTheme="minorHAnsi"/>
          <w:szCs w:val="22"/>
        </w:rPr>
      </w:pPr>
      <w:r w:rsidRPr="00705782">
        <w:rPr>
          <w:rFonts w:asciiTheme="minorHAnsi" w:hAnsiTheme="minorHAnsi"/>
          <w:szCs w:val="22"/>
        </w:rPr>
        <w:t>GLLA:</w:t>
      </w:r>
      <w:r w:rsidRPr="00705782">
        <w:rPr>
          <w:rFonts w:asciiTheme="minorHAnsi" w:hAnsiTheme="minorHAnsi"/>
          <w:szCs w:val="22"/>
        </w:rPr>
        <w:tab/>
      </w:r>
      <w:r w:rsidRPr="00705782">
        <w:rPr>
          <w:rFonts w:asciiTheme="minorHAnsi" w:hAnsiTheme="minorHAnsi"/>
          <w:szCs w:val="22"/>
        </w:rPr>
        <w:tab/>
        <w:t>General Loan Loss Allowance</w:t>
      </w:r>
    </w:p>
    <w:p w14:paraId="0D4DB905" w14:textId="77777777" w:rsidR="00396D18" w:rsidRPr="00705782" w:rsidRDefault="00396D18" w:rsidP="00705782">
      <w:pPr>
        <w:spacing w:before="120" w:after="60" w:line="276" w:lineRule="auto"/>
        <w:contextualSpacing/>
        <w:rPr>
          <w:rFonts w:asciiTheme="minorHAnsi" w:hAnsiTheme="minorHAnsi"/>
          <w:szCs w:val="22"/>
        </w:rPr>
      </w:pPr>
      <w:r w:rsidRPr="00705782">
        <w:rPr>
          <w:rFonts w:asciiTheme="minorHAnsi" w:hAnsiTheme="minorHAnsi"/>
          <w:szCs w:val="22"/>
        </w:rPr>
        <w:t>ICAAP</w:t>
      </w:r>
      <w:r w:rsidR="00CD2991" w:rsidRPr="00705782">
        <w:rPr>
          <w:rFonts w:asciiTheme="minorHAnsi" w:hAnsiTheme="minorHAnsi"/>
          <w:szCs w:val="22"/>
        </w:rPr>
        <w:t>:</w:t>
      </w:r>
      <w:r w:rsidR="00CD2991" w:rsidRPr="00705782">
        <w:rPr>
          <w:rFonts w:asciiTheme="minorHAnsi" w:hAnsiTheme="minorHAnsi"/>
          <w:szCs w:val="22"/>
        </w:rPr>
        <w:tab/>
      </w:r>
      <w:r w:rsidR="00C1606C" w:rsidRPr="00705782">
        <w:rPr>
          <w:rFonts w:asciiTheme="minorHAnsi" w:hAnsiTheme="minorHAnsi"/>
          <w:szCs w:val="22"/>
        </w:rPr>
        <w:tab/>
      </w:r>
      <w:r w:rsidR="00CD2991" w:rsidRPr="00705782">
        <w:rPr>
          <w:rFonts w:asciiTheme="minorHAnsi" w:hAnsiTheme="minorHAnsi"/>
          <w:szCs w:val="22"/>
        </w:rPr>
        <w:t>Internal Capital Adequacy Assessment Process</w:t>
      </w:r>
    </w:p>
    <w:p w14:paraId="79BFB733" w14:textId="77777777" w:rsidR="006A456F" w:rsidRPr="00705782" w:rsidRDefault="006A456F" w:rsidP="00705782">
      <w:pPr>
        <w:spacing w:before="120" w:after="60" w:line="276" w:lineRule="auto"/>
        <w:contextualSpacing/>
        <w:rPr>
          <w:rFonts w:asciiTheme="minorHAnsi" w:hAnsiTheme="minorHAnsi"/>
          <w:szCs w:val="22"/>
        </w:rPr>
      </w:pPr>
      <w:r w:rsidRPr="00705782">
        <w:rPr>
          <w:rFonts w:asciiTheme="minorHAnsi" w:hAnsiTheme="minorHAnsi"/>
          <w:szCs w:val="22"/>
        </w:rPr>
        <w:t>IFRS:</w:t>
      </w:r>
      <w:r w:rsidRPr="00705782">
        <w:rPr>
          <w:rFonts w:asciiTheme="minorHAnsi" w:hAnsiTheme="minorHAnsi"/>
          <w:szCs w:val="22"/>
        </w:rPr>
        <w:tab/>
      </w:r>
      <w:r w:rsidRPr="00705782">
        <w:rPr>
          <w:rFonts w:asciiTheme="minorHAnsi" w:hAnsiTheme="minorHAnsi"/>
          <w:szCs w:val="22"/>
        </w:rPr>
        <w:tab/>
        <w:t xml:space="preserve">International Financial </w:t>
      </w:r>
      <w:r w:rsidR="00D162D6" w:rsidRPr="00705782">
        <w:rPr>
          <w:rFonts w:asciiTheme="minorHAnsi" w:hAnsiTheme="minorHAnsi"/>
          <w:szCs w:val="22"/>
        </w:rPr>
        <w:t>Reporting</w:t>
      </w:r>
      <w:r w:rsidRPr="00705782">
        <w:rPr>
          <w:rFonts w:asciiTheme="minorHAnsi" w:hAnsiTheme="minorHAnsi"/>
          <w:szCs w:val="22"/>
        </w:rPr>
        <w:t xml:space="preserve"> Standards</w:t>
      </w:r>
    </w:p>
    <w:p w14:paraId="4AE41D2F"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KRI:</w:t>
      </w:r>
      <w:r w:rsidRPr="00705782">
        <w:rPr>
          <w:rFonts w:asciiTheme="minorHAnsi" w:hAnsiTheme="minorHAnsi"/>
          <w:szCs w:val="22"/>
        </w:rPr>
        <w:tab/>
      </w:r>
      <w:r w:rsidRPr="00705782">
        <w:rPr>
          <w:rFonts w:asciiTheme="minorHAnsi" w:hAnsiTheme="minorHAnsi"/>
          <w:szCs w:val="22"/>
        </w:rPr>
        <w:tab/>
        <w:t>Key Risk Indicator</w:t>
      </w:r>
    </w:p>
    <w:p w14:paraId="2C405F14"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KPI:</w:t>
      </w:r>
      <w:r w:rsidRPr="00705782">
        <w:rPr>
          <w:rFonts w:asciiTheme="minorHAnsi" w:hAnsiTheme="minorHAnsi"/>
          <w:szCs w:val="22"/>
        </w:rPr>
        <w:tab/>
      </w:r>
      <w:r w:rsidRPr="00705782">
        <w:rPr>
          <w:rFonts w:asciiTheme="minorHAnsi" w:hAnsiTheme="minorHAnsi"/>
          <w:szCs w:val="22"/>
        </w:rPr>
        <w:tab/>
        <w:t>Key Performance Indicator</w:t>
      </w:r>
    </w:p>
    <w:p w14:paraId="3C8C5549"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MCC:</w:t>
      </w:r>
      <w:r w:rsidRPr="00705782">
        <w:rPr>
          <w:rFonts w:asciiTheme="minorHAnsi" w:hAnsiTheme="minorHAnsi"/>
          <w:szCs w:val="22"/>
        </w:rPr>
        <w:tab/>
      </w:r>
      <w:r w:rsidRPr="00705782">
        <w:rPr>
          <w:rFonts w:asciiTheme="minorHAnsi" w:hAnsiTheme="minorHAnsi"/>
          <w:szCs w:val="22"/>
        </w:rPr>
        <w:tab/>
        <w:t xml:space="preserve">Management </w:t>
      </w:r>
      <w:r w:rsidR="00495507" w:rsidRPr="00705782">
        <w:rPr>
          <w:rFonts w:asciiTheme="minorHAnsi" w:hAnsiTheme="minorHAnsi"/>
          <w:szCs w:val="22"/>
        </w:rPr>
        <w:t xml:space="preserve">Credit </w:t>
      </w:r>
      <w:r w:rsidRPr="00705782">
        <w:rPr>
          <w:rFonts w:asciiTheme="minorHAnsi" w:hAnsiTheme="minorHAnsi"/>
          <w:szCs w:val="22"/>
        </w:rPr>
        <w:t>Committee</w:t>
      </w:r>
    </w:p>
    <w:p w14:paraId="6EB0B53F"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MSA:</w:t>
      </w:r>
      <w:r w:rsidRPr="00705782">
        <w:rPr>
          <w:rFonts w:asciiTheme="minorHAnsi" w:hAnsiTheme="minorHAnsi"/>
          <w:szCs w:val="22"/>
        </w:rPr>
        <w:tab/>
      </w:r>
      <w:r w:rsidRPr="00705782">
        <w:rPr>
          <w:rFonts w:asciiTheme="minorHAnsi" w:hAnsiTheme="minorHAnsi"/>
          <w:szCs w:val="22"/>
        </w:rPr>
        <w:tab/>
        <w:t>Market Service Area</w:t>
      </w:r>
    </w:p>
    <w:p w14:paraId="0C262907"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lastRenderedPageBreak/>
        <w:t>OSFI:</w:t>
      </w:r>
      <w:r w:rsidRPr="00705782">
        <w:rPr>
          <w:rFonts w:asciiTheme="minorHAnsi" w:hAnsiTheme="minorHAnsi"/>
          <w:szCs w:val="22"/>
        </w:rPr>
        <w:tab/>
      </w:r>
      <w:r w:rsidRPr="00705782">
        <w:rPr>
          <w:rFonts w:asciiTheme="minorHAnsi" w:hAnsiTheme="minorHAnsi"/>
          <w:szCs w:val="22"/>
        </w:rPr>
        <w:tab/>
        <w:t>Office of the Superintendent of Financial Institutions</w:t>
      </w:r>
    </w:p>
    <w:p w14:paraId="2F009DD4" w14:textId="77777777" w:rsidR="00CA5346" w:rsidRPr="00705782" w:rsidRDefault="00CA5346" w:rsidP="00705782">
      <w:pPr>
        <w:spacing w:before="120" w:after="60" w:line="276" w:lineRule="auto"/>
        <w:contextualSpacing/>
        <w:rPr>
          <w:rFonts w:asciiTheme="minorHAnsi" w:hAnsiTheme="minorHAnsi"/>
          <w:szCs w:val="22"/>
        </w:rPr>
      </w:pPr>
      <w:r w:rsidRPr="00705782">
        <w:rPr>
          <w:rFonts w:asciiTheme="minorHAnsi" w:hAnsiTheme="minorHAnsi"/>
          <w:szCs w:val="22"/>
        </w:rPr>
        <w:t>RMUP:</w:t>
      </w:r>
      <w:r w:rsidRPr="00705782">
        <w:rPr>
          <w:rFonts w:asciiTheme="minorHAnsi" w:hAnsiTheme="minorHAnsi"/>
          <w:szCs w:val="22"/>
        </w:rPr>
        <w:tab/>
      </w:r>
      <w:r w:rsidR="00C1606C" w:rsidRPr="00705782">
        <w:rPr>
          <w:rFonts w:asciiTheme="minorHAnsi" w:hAnsiTheme="minorHAnsi"/>
          <w:szCs w:val="22"/>
        </w:rPr>
        <w:tab/>
      </w:r>
      <w:r w:rsidRPr="00705782">
        <w:rPr>
          <w:rFonts w:asciiTheme="minorHAnsi" w:hAnsiTheme="minorHAnsi"/>
          <w:szCs w:val="22"/>
        </w:rPr>
        <w:t>Residential Mortgage Underwriting Policy</w:t>
      </w:r>
    </w:p>
    <w:p w14:paraId="45B38EE7" w14:textId="77777777" w:rsidR="00463FF3" w:rsidRPr="00705782" w:rsidRDefault="0062335A" w:rsidP="00705782">
      <w:pPr>
        <w:spacing w:before="120" w:after="60" w:line="276" w:lineRule="auto"/>
        <w:contextualSpacing/>
        <w:rPr>
          <w:rFonts w:asciiTheme="minorHAnsi" w:hAnsiTheme="minorHAnsi"/>
          <w:szCs w:val="22"/>
        </w:rPr>
      </w:pPr>
      <w:r w:rsidRPr="00705782">
        <w:rPr>
          <w:rFonts w:asciiTheme="minorHAnsi" w:hAnsiTheme="minorHAnsi"/>
          <w:szCs w:val="22"/>
        </w:rPr>
        <w:t>SLLA:</w:t>
      </w:r>
      <w:r w:rsidRPr="00705782">
        <w:rPr>
          <w:rFonts w:asciiTheme="minorHAnsi" w:hAnsiTheme="minorHAnsi"/>
          <w:szCs w:val="22"/>
        </w:rPr>
        <w:tab/>
      </w:r>
      <w:r w:rsidRPr="00705782">
        <w:rPr>
          <w:rFonts w:asciiTheme="minorHAnsi" w:hAnsiTheme="minorHAnsi"/>
          <w:szCs w:val="22"/>
        </w:rPr>
        <w:tab/>
        <w:t>Specific Loan Loss Allowance</w:t>
      </w:r>
    </w:p>
    <w:p w14:paraId="147E194D" w14:textId="77777777" w:rsidR="0062335A" w:rsidRPr="00705782" w:rsidRDefault="0062335A" w:rsidP="00705782">
      <w:pPr>
        <w:spacing w:before="120" w:after="60" w:line="276" w:lineRule="auto"/>
        <w:contextualSpacing/>
        <w:rPr>
          <w:rFonts w:asciiTheme="minorHAnsi" w:hAnsiTheme="minorHAnsi"/>
          <w:szCs w:val="22"/>
        </w:rPr>
      </w:pPr>
      <w:r w:rsidRPr="00705782">
        <w:rPr>
          <w:rFonts w:asciiTheme="minorHAnsi" w:hAnsiTheme="minorHAnsi"/>
          <w:szCs w:val="22"/>
        </w:rPr>
        <w:t>TLLA:</w:t>
      </w:r>
      <w:r w:rsidRPr="00705782">
        <w:rPr>
          <w:rFonts w:asciiTheme="minorHAnsi" w:hAnsiTheme="minorHAnsi"/>
          <w:szCs w:val="22"/>
        </w:rPr>
        <w:tab/>
      </w:r>
      <w:r w:rsidRPr="00705782">
        <w:rPr>
          <w:rFonts w:asciiTheme="minorHAnsi" w:hAnsiTheme="minorHAnsi"/>
          <w:szCs w:val="22"/>
        </w:rPr>
        <w:tab/>
        <w:t>Total Loan Loss Allowance</w:t>
      </w:r>
    </w:p>
    <w:p w14:paraId="449D493B" w14:textId="77777777" w:rsidR="00026276" w:rsidRPr="00392020" w:rsidRDefault="00C12945" w:rsidP="00392020">
      <w:pPr>
        <w:pStyle w:val="Heading1"/>
        <w:spacing w:line="276" w:lineRule="auto"/>
      </w:pPr>
      <w:bookmarkStart w:id="84" w:name="_Toc507416361"/>
      <w:r w:rsidRPr="00392020">
        <w:t>Glossary:</w:t>
      </w:r>
      <w:bookmarkEnd w:id="84"/>
    </w:p>
    <w:p w14:paraId="610F475B" w14:textId="77777777" w:rsidR="00B946A1" w:rsidRPr="00086E41" w:rsidRDefault="00B946A1" w:rsidP="00EB532E">
      <w:pPr>
        <w:tabs>
          <w:tab w:val="left" w:pos="810"/>
        </w:tabs>
        <w:spacing w:before="120" w:after="60" w:line="276" w:lineRule="auto"/>
        <w:jc w:val="both"/>
        <w:rPr>
          <w:rFonts w:asciiTheme="minorHAnsi" w:hAnsiTheme="minorHAnsi"/>
          <w:szCs w:val="22"/>
        </w:rPr>
      </w:pPr>
      <w:r w:rsidRPr="00705782">
        <w:rPr>
          <w:rFonts w:asciiTheme="minorHAnsi" w:hAnsiTheme="minorHAnsi"/>
          <w:b/>
          <w:i/>
          <w:szCs w:val="22"/>
        </w:rPr>
        <w:t>Available Capital:</w:t>
      </w:r>
      <w:r w:rsidRPr="00705782">
        <w:rPr>
          <w:rFonts w:asciiTheme="minorHAnsi" w:hAnsiTheme="minorHAnsi"/>
          <w:szCs w:val="22"/>
        </w:rPr>
        <w:t xml:space="preserve"> Defined in the Regulations, as “total capital”, meaning primary capital plus secondary capital subject to restrictions and deductions as outlined in Schedule 2 of the Regulations. Note: For credit risk </w:t>
      </w:r>
      <w:r w:rsidR="00EB532E">
        <w:rPr>
          <w:rFonts w:asciiTheme="minorHAnsi" w:hAnsiTheme="minorHAnsi"/>
          <w:szCs w:val="22"/>
        </w:rPr>
        <w:t>management purposes, Available C</w:t>
      </w:r>
      <w:r w:rsidRPr="00705782">
        <w:rPr>
          <w:rFonts w:asciiTheme="minorHAnsi" w:hAnsiTheme="minorHAnsi"/>
          <w:szCs w:val="22"/>
        </w:rPr>
        <w:t>apital is</w:t>
      </w:r>
      <w:r w:rsidR="00086E41">
        <w:rPr>
          <w:rFonts w:asciiTheme="minorHAnsi" w:hAnsiTheme="minorHAnsi"/>
          <w:szCs w:val="22"/>
        </w:rPr>
        <w:t xml:space="preserve"> based on year-end calculation.</w:t>
      </w:r>
    </w:p>
    <w:p w14:paraId="22314F9E" w14:textId="77777777" w:rsidR="00086E41" w:rsidRDefault="007F7BAD" w:rsidP="00EB532E">
      <w:pPr>
        <w:spacing w:before="120" w:after="60" w:line="276" w:lineRule="auto"/>
        <w:jc w:val="both"/>
        <w:rPr>
          <w:rFonts w:asciiTheme="minorHAnsi" w:hAnsiTheme="minorHAnsi"/>
          <w:color w:val="1F497D"/>
          <w:szCs w:val="22"/>
        </w:rPr>
      </w:pPr>
      <w:r w:rsidRPr="00086E41">
        <w:rPr>
          <w:rFonts w:asciiTheme="minorHAnsi" w:hAnsiTheme="minorHAnsi"/>
          <w:b/>
          <w:i/>
          <w:szCs w:val="22"/>
        </w:rPr>
        <w:t>Default</w:t>
      </w:r>
      <w:r w:rsidRPr="006538DB">
        <w:rPr>
          <w:rFonts w:asciiTheme="minorHAnsi" w:hAnsiTheme="minorHAnsi"/>
          <w:b/>
          <w:szCs w:val="22"/>
        </w:rPr>
        <w:t>:</w:t>
      </w:r>
      <w:r w:rsidR="00BF488F" w:rsidRPr="006538DB">
        <w:rPr>
          <w:rFonts w:asciiTheme="minorHAnsi" w:hAnsiTheme="minorHAnsi"/>
          <w:szCs w:val="22"/>
        </w:rPr>
        <w:t xml:space="preserve"> A breach of contract, including conditions of lending, such as financial or non-financial covenants and principal or interest delinquency</w:t>
      </w:r>
      <w:r w:rsidR="00B76987" w:rsidRPr="006538DB">
        <w:rPr>
          <w:rFonts w:asciiTheme="minorHAnsi" w:hAnsiTheme="minorHAnsi"/>
          <w:szCs w:val="22"/>
        </w:rPr>
        <w:t>.</w:t>
      </w:r>
    </w:p>
    <w:p w14:paraId="58C826E8" w14:textId="77777777" w:rsidR="00044E58" w:rsidRPr="00705782" w:rsidRDefault="00044E58" w:rsidP="00EB532E">
      <w:pPr>
        <w:spacing w:before="120" w:after="60" w:line="276" w:lineRule="auto"/>
        <w:jc w:val="both"/>
        <w:rPr>
          <w:rFonts w:asciiTheme="minorHAnsi" w:hAnsiTheme="minorHAnsi"/>
          <w:b/>
          <w:i/>
          <w:szCs w:val="22"/>
        </w:rPr>
      </w:pPr>
      <w:r w:rsidRPr="00705782">
        <w:rPr>
          <w:rFonts w:asciiTheme="minorHAnsi" w:hAnsiTheme="minorHAnsi"/>
          <w:b/>
          <w:i/>
          <w:szCs w:val="22"/>
        </w:rPr>
        <w:t>Hospitality markets:</w:t>
      </w:r>
    </w:p>
    <w:p w14:paraId="11896934" w14:textId="12DAA913" w:rsidR="00044E58" w:rsidRPr="00705782" w:rsidRDefault="00044E58" w:rsidP="00EB532E">
      <w:pPr>
        <w:numPr>
          <w:ilvl w:val="0"/>
          <w:numId w:val="29"/>
        </w:numPr>
        <w:spacing w:before="120" w:after="60" w:line="276" w:lineRule="auto"/>
        <w:contextualSpacing/>
        <w:jc w:val="both"/>
        <w:rPr>
          <w:rFonts w:asciiTheme="minorHAnsi" w:hAnsiTheme="minorHAnsi"/>
          <w:szCs w:val="22"/>
        </w:rPr>
      </w:pPr>
      <w:r w:rsidRPr="00705782">
        <w:rPr>
          <w:rFonts w:asciiTheme="minorHAnsi" w:hAnsiTheme="minorHAnsi"/>
          <w:szCs w:val="22"/>
        </w:rPr>
        <w:t>Prime Market:</w:t>
      </w:r>
      <w:r w:rsidR="00946CC8" w:rsidRPr="00705782">
        <w:rPr>
          <w:rFonts w:asciiTheme="minorHAnsi" w:hAnsiTheme="minorHAnsi"/>
          <w:szCs w:val="22"/>
        </w:rPr>
        <w:t xml:space="preserve"> Franchised hotels </w:t>
      </w:r>
      <w:r w:rsidR="00AB4E48">
        <w:rPr>
          <w:rFonts w:asciiTheme="minorHAnsi" w:hAnsiTheme="minorHAnsi"/>
          <w:szCs w:val="22"/>
        </w:rPr>
        <w:t xml:space="preserve">with an effective age of </w:t>
      </w:r>
      <w:r w:rsidR="00DB3367" w:rsidRPr="00705782">
        <w:rPr>
          <w:rFonts w:asciiTheme="minorHAnsi" w:hAnsiTheme="minorHAnsi"/>
          <w:szCs w:val="22"/>
        </w:rPr>
        <w:t>10</w:t>
      </w:r>
      <w:r w:rsidR="00946CC8" w:rsidRPr="00705782">
        <w:rPr>
          <w:rFonts w:asciiTheme="minorHAnsi" w:hAnsiTheme="minorHAnsi"/>
          <w:szCs w:val="22"/>
        </w:rPr>
        <w:t xml:space="preserve">-years </w:t>
      </w:r>
      <w:r w:rsidR="00AB4E48">
        <w:rPr>
          <w:rFonts w:asciiTheme="minorHAnsi" w:hAnsiTheme="minorHAnsi"/>
          <w:szCs w:val="22"/>
        </w:rPr>
        <w:t>or less</w:t>
      </w:r>
      <w:r w:rsidR="00C34CC7" w:rsidRPr="00705782">
        <w:rPr>
          <w:rFonts w:asciiTheme="minorHAnsi" w:hAnsiTheme="minorHAnsi"/>
          <w:szCs w:val="22"/>
        </w:rPr>
        <w:t xml:space="preserve">, </w:t>
      </w:r>
      <w:r w:rsidR="00946CC8" w:rsidRPr="00705782">
        <w:rPr>
          <w:rFonts w:asciiTheme="minorHAnsi" w:hAnsiTheme="minorHAnsi"/>
          <w:szCs w:val="22"/>
        </w:rPr>
        <w:t xml:space="preserve">in the CU prime market </w:t>
      </w:r>
      <w:r w:rsidR="00AB4E48">
        <w:rPr>
          <w:rFonts w:asciiTheme="minorHAnsi" w:hAnsiTheme="minorHAnsi"/>
          <w:szCs w:val="22"/>
        </w:rPr>
        <w:t xml:space="preserve">service </w:t>
      </w:r>
      <w:r w:rsidR="00946CC8" w:rsidRPr="00705782">
        <w:rPr>
          <w:rFonts w:asciiTheme="minorHAnsi" w:hAnsiTheme="minorHAnsi"/>
          <w:szCs w:val="22"/>
        </w:rPr>
        <w:t>area</w:t>
      </w:r>
      <w:r w:rsidR="000D0381" w:rsidRPr="00705782">
        <w:rPr>
          <w:rFonts w:asciiTheme="minorHAnsi" w:hAnsiTheme="minorHAnsi"/>
          <w:szCs w:val="22"/>
        </w:rPr>
        <w:t xml:space="preserve"> (</w:t>
      </w:r>
      <w:r w:rsidR="00AB4E48">
        <w:rPr>
          <w:rFonts w:asciiTheme="minorHAnsi" w:hAnsiTheme="minorHAnsi"/>
          <w:szCs w:val="22"/>
        </w:rPr>
        <w:t xml:space="preserve">i.e. </w:t>
      </w:r>
      <w:r w:rsidR="000D0381" w:rsidRPr="00705782">
        <w:rPr>
          <w:rFonts w:asciiTheme="minorHAnsi" w:hAnsiTheme="minorHAnsi"/>
          <w:szCs w:val="22"/>
        </w:rPr>
        <w:t xml:space="preserve">within </w:t>
      </w:r>
      <w:r w:rsidR="00AB4E48">
        <w:rPr>
          <w:rFonts w:asciiTheme="minorHAnsi" w:hAnsiTheme="minorHAnsi"/>
          <w:szCs w:val="22"/>
        </w:rPr>
        <w:t xml:space="preserve">100 </w:t>
      </w:r>
      <w:r w:rsidR="000D0381" w:rsidRPr="00705782">
        <w:rPr>
          <w:rFonts w:asciiTheme="minorHAnsi" w:hAnsiTheme="minorHAnsi"/>
          <w:szCs w:val="22"/>
        </w:rPr>
        <w:t>KM of a branch location)</w:t>
      </w:r>
      <w:r w:rsidR="00EB532E">
        <w:rPr>
          <w:rFonts w:asciiTheme="minorHAnsi" w:hAnsiTheme="minorHAnsi"/>
          <w:szCs w:val="22"/>
        </w:rPr>
        <w:t>.</w:t>
      </w:r>
    </w:p>
    <w:p w14:paraId="5F9597FA" w14:textId="5C99C9AC" w:rsidR="00044E58" w:rsidRPr="00705782" w:rsidRDefault="00044E58" w:rsidP="00EB532E">
      <w:pPr>
        <w:numPr>
          <w:ilvl w:val="0"/>
          <w:numId w:val="29"/>
        </w:numPr>
        <w:spacing w:before="120" w:after="60" w:line="276" w:lineRule="auto"/>
        <w:contextualSpacing/>
        <w:jc w:val="both"/>
        <w:rPr>
          <w:rFonts w:asciiTheme="minorHAnsi" w:hAnsiTheme="minorHAnsi"/>
          <w:szCs w:val="22"/>
        </w:rPr>
      </w:pPr>
      <w:r w:rsidRPr="00705782">
        <w:rPr>
          <w:rFonts w:asciiTheme="minorHAnsi" w:hAnsiTheme="minorHAnsi"/>
          <w:szCs w:val="22"/>
        </w:rPr>
        <w:t>Secondary Market:</w:t>
      </w:r>
      <w:r w:rsidR="00946CC8" w:rsidRPr="00705782">
        <w:rPr>
          <w:rFonts w:asciiTheme="minorHAnsi" w:hAnsiTheme="minorHAnsi"/>
          <w:szCs w:val="22"/>
        </w:rPr>
        <w:t xml:space="preserve"> Franchised hotels </w:t>
      </w:r>
      <w:r w:rsidR="00AB4E48">
        <w:rPr>
          <w:rFonts w:asciiTheme="minorHAnsi" w:hAnsiTheme="minorHAnsi"/>
          <w:szCs w:val="22"/>
        </w:rPr>
        <w:t xml:space="preserve">with an effective age of </w:t>
      </w:r>
      <w:r w:rsidR="00946CC8" w:rsidRPr="00705782">
        <w:rPr>
          <w:rFonts w:asciiTheme="minorHAnsi" w:hAnsiTheme="minorHAnsi"/>
          <w:szCs w:val="22"/>
        </w:rPr>
        <w:t xml:space="preserve">more than </w:t>
      </w:r>
      <w:r w:rsidR="00DB3367" w:rsidRPr="00705782">
        <w:rPr>
          <w:rFonts w:asciiTheme="minorHAnsi" w:hAnsiTheme="minorHAnsi"/>
          <w:szCs w:val="22"/>
        </w:rPr>
        <w:t>10</w:t>
      </w:r>
      <w:r w:rsidR="00946CC8" w:rsidRPr="00705782">
        <w:rPr>
          <w:rFonts w:asciiTheme="minorHAnsi" w:hAnsiTheme="minorHAnsi"/>
          <w:szCs w:val="22"/>
        </w:rPr>
        <w:t xml:space="preserve">-years in CU prime market </w:t>
      </w:r>
      <w:r w:rsidR="00AB4E48">
        <w:rPr>
          <w:rFonts w:asciiTheme="minorHAnsi" w:hAnsiTheme="minorHAnsi"/>
          <w:szCs w:val="22"/>
        </w:rPr>
        <w:t xml:space="preserve">service </w:t>
      </w:r>
      <w:r w:rsidR="00946CC8" w:rsidRPr="00705782">
        <w:rPr>
          <w:rFonts w:asciiTheme="minorHAnsi" w:hAnsiTheme="minorHAnsi"/>
          <w:szCs w:val="22"/>
        </w:rPr>
        <w:t>area</w:t>
      </w:r>
      <w:r w:rsidR="00EB532E">
        <w:rPr>
          <w:rFonts w:asciiTheme="minorHAnsi" w:hAnsiTheme="minorHAnsi"/>
          <w:szCs w:val="22"/>
        </w:rPr>
        <w:t>.</w:t>
      </w:r>
    </w:p>
    <w:p w14:paraId="08F4327B" w14:textId="7893082A" w:rsidR="00044E58" w:rsidRPr="00705782" w:rsidRDefault="00C34CC7" w:rsidP="00EB532E">
      <w:pPr>
        <w:numPr>
          <w:ilvl w:val="0"/>
          <w:numId w:val="29"/>
        </w:numPr>
        <w:spacing w:before="120" w:after="60" w:line="276" w:lineRule="auto"/>
        <w:contextualSpacing/>
        <w:jc w:val="both"/>
        <w:rPr>
          <w:rFonts w:asciiTheme="minorHAnsi" w:hAnsiTheme="minorHAnsi"/>
          <w:szCs w:val="22"/>
        </w:rPr>
      </w:pPr>
      <w:r w:rsidRPr="00705782">
        <w:rPr>
          <w:rFonts w:asciiTheme="minorHAnsi" w:hAnsiTheme="minorHAnsi"/>
          <w:szCs w:val="22"/>
        </w:rPr>
        <w:t>Tertiary</w:t>
      </w:r>
      <w:r w:rsidR="00044E58" w:rsidRPr="00705782">
        <w:rPr>
          <w:rFonts w:asciiTheme="minorHAnsi" w:hAnsiTheme="minorHAnsi"/>
          <w:szCs w:val="22"/>
        </w:rPr>
        <w:t xml:space="preserve"> Market:</w:t>
      </w:r>
      <w:r w:rsidR="00946CC8" w:rsidRPr="00705782">
        <w:rPr>
          <w:rFonts w:asciiTheme="minorHAnsi" w:hAnsiTheme="minorHAnsi"/>
          <w:szCs w:val="22"/>
        </w:rPr>
        <w:t xml:space="preserve"> Non-franchised hotels and hotels outside the CU prime </w:t>
      </w:r>
      <w:r w:rsidR="0072361F" w:rsidRPr="00705782">
        <w:rPr>
          <w:rFonts w:asciiTheme="minorHAnsi" w:hAnsiTheme="minorHAnsi"/>
          <w:szCs w:val="22"/>
        </w:rPr>
        <w:t xml:space="preserve">or secondary </w:t>
      </w:r>
      <w:r w:rsidR="00AB4E48">
        <w:rPr>
          <w:rFonts w:asciiTheme="minorHAnsi" w:hAnsiTheme="minorHAnsi"/>
          <w:szCs w:val="22"/>
        </w:rPr>
        <w:t xml:space="preserve">hospitality </w:t>
      </w:r>
      <w:r w:rsidR="009B676D" w:rsidRPr="00705782">
        <w:rPr>
          <w:rFonts w:asciiTheme="minorHAnsi" w:hAnsiTheme="minorHAnsi"/>
          <w:szCs w:val="22"/>
        </w:rPr>
        <w:t>market</w:t>
      </w:r>
      <w:r w:rsidR="00AB4E48">
        <w:rPr>
          <w:rFonts w:asciiTheme="minorHAnsi" w:hAnsiTheme="minorHAnsi"/>
          <w:szCs w:val="22"/>
        </w:rPr>
        <w:t>s</w:t>
      </w:r>
      <w:r w:rsidR="009B676D" w:rsidRPr="00705782">
        <w:rPr>
          <w:rFonts w:asciiTheme="minorHAnsi" w:hAnsiTheme="minorHAnsi"/>
          <w:szCs w:val="22"/>
        </w:rPr>
        <w:t>.</w:t>
      </w:r>
    </w:p>
    <w:p w14:paraId="1B41584D" w14:textId="77777777" w:rsidR="00CA5346" w:rsidRPr="00705782" w:rsidRDefault="00EB532E" w:rsidP="00EB532E">
      <w:pPr>
        <w:spacing w:before="120" w:after="60" w:line="276" w:lineRule="auto"/>
        <w:jc w:val="both"/>
        <w:rPr>
          <w:rFonts w:asciiTheme="minorHAnsi" w:hAnsiTheme="minorHAnsi"/>
          <w:b/>
          <w:i/>
          <w:szCs w:val="22"/>
        </w:rPr>
      </w:pPr>
      <w:r>
        <w:rPr>
          <w:rFonts w:asciiTheme="minorHAnsi" w:hAnsiTheme="minorHAnsi"/>
          <w:b/>
          <w:i/>
          <w:szCs w:val="22"/>
        </w:rPr>
        <w:t>Materiality:</w:t>
      </w:r>
    </w:p>
    <w:p w14:paraId="34E53D9E" w14:textId="77777777" w:rsidR="006F6D32" w:rsidRPr="00705782" w:rsidRDefault="006F6D32" w:rsidP="00EB532E">
      <w:pPr>
        <w:numPr>
          <w:ilvl w:val="0"/>
          <w:numId w:val="22"/>
        </w:numPr>
        <w:spacing w:before="120" w:after="60" w:line="276" w:lineRule="auto"/>
        <w:ind w:left="720" w:hanging="426"/>
        <w:contextualSpacing/>
        <w:jc w:val="both"/>
        <w:rPr>
          <w:rFonts w:asciiTheme="minorHAnsi" w:hAnsiTheme="minorHAnsi"/>
          <w:szCs w:val="22"/>
        </w:rPr>
      </w:pPr>
      <w:r w:rsidRPr="00705782">
        <w:rPr>
          <w:rFonts w:asciiTheme="minorHAnsi" w:hAnsiTheme="minorHAnsi"/>
          <w:szCs w:val="22"/>
        </w:rPr>
        <w:t xml:space="preserve">For accounting purposes, materiality is usually </w:t>
      </w:r>
      <w:r w:rsidR="00D162D6" w:rsidRPr="00705782">
        <w:rPr>
          <w:rFonts w:asciiTheme="minorHAnsi" w:hAnsiTheme="minorHAnsi"/>
          <w:szCs w:val="22"/>
        </w:rPr>
        <w:t>quantified</w:t>
      </w:r>
      <w:r w:rsidRPr="00705782">
        <w:rPr>
          <w:rFonts w:asciiTheme="minorHAnsi" w:hAnsiTheme="minorHAnsi"/>
          <w:szCs w:val="22"/>
        </w:rPr>
        <w:t xml:space="preserve"> as a c</w:t>
      </w:r>
      <w:r w:rsidR="00EB532E">
        <w:rPr>
          <w:rFonts w:asciiTheme="minorHAnsi" w:hAnsiTheme="minorHAnsi"/>
          <w:szCs w:val="22"/>
        </w:rPr>
        <w:t>ertain percentage, typically 5%</w:t>
      </w:r>
      <w:r w:rsidRPr="00705782">
        <w:rPr>
          <w:rFonts w:asciiTheme="minorHAnsi" w:hAnsiTheme="minorHAnsi"/>
          <w:szCs w:val="22"/>
        </w:rPr>
        <w:t xml:space="preserve"> of assets, revenues or expenses</w:t>
      </w:r>
      <w:r w:rsidR="00EB532E">
        <w:rPr>
          <w:rFonts w:asciiTheme="minorHAnsi" w:hAnsiTheme="minorHAnsi"/>
          <w:szCs w:val="22"/>
        </w:rPr>
        <w:t>.</w:t>
      </w:r>
    </w:p>
    <w:p w14:paraId="5979A05A" w14:textId="77777777" w:rsidR="006F6D32" w:rsidRPr="00705782" w:rsidRDefault="006F6D32" w:rsidP="00EB532E">
      <w:pPr>
        <w:numPr>
          <w:ilvl w:val="0"/>
          <w:numId w:val="22"/>
        </w:numPr>
        <w:spacing w:before="120" w:after="60" w:line="276" w:lineRule="auto"/>
        <w:ind w:left="720" w:hanging="426"/>
        <w:contextualSpacing/>
        <w:jc w:val="both"/>
        <w:rPr>
          <w:rFonts w:asciiTheme="minorHAnsi" w:hAnsiTheme="minorHAnsi"/>
          <w:szCs w:val="22"/>
        </w:rPr>
      </w:pPr>
      <w:r w:rsidRPr="00705782">
        <w:rPr>
          <w:rFonts w:asciiTheme="minorHAnsi" w:hAnsiTheme="minorHAnsi"/>
          <w:szCs w:val="22"/>
        </w:rPr>
        <w:t xml:space="preserve">For market risk management purposes, materiality may be defined as a confidence interval, representing </w:t>
      </w:r>
      <w:r w:rsidR="00CB1252" w:rsidRPr="00705782">
        <w:rPr>
          <w:rFonts w:asciiTheme="minorHAnsi" w:hAnsiTheme="minorHAnsi"/>
          <w:szCs w:val="22"/>
        </w:rPr>
        <w:t>the</w:t>
      </w:r>
      <w:r w:rsidRPr="00705782">
        <w:rPr>
          <w:rFonts w:asciiTheme="minorHAnsi" w:hAnsiTheme="minorHAnsi"/>
          <w:szCs w:val="22"/>
        </w:rPr>
        <w:t xml:space="preserve"> relationship between </w:t>
      </w:r>
      <w:proofErr w:type="gramStart"/>
      <w:r w:rsidRPr="00705782">
        <w:rPr>
          <w:rFonts w:asciiTheme="minorHAnsi" w:hAnsiTheme="minorHAnsi"/>
          <w:szCs w:val="22"/>
        </w:rPr>
        <w:t>the a</w:t>
      </w:r>
      <w:proofErr w:type="gramEnd"/>
      <w:r w:rsidRPr="00705782">
        <w:rPr>
          <w:rFonts w:asciiTheme="minorHAnsi" w:hAnsiTheme="minorHAnsi"/>
          <w:szCs w:val="22"/>
        </w:rPr>
        <w:t xml:space="preserve"> distribution mean and it’s standard deviation</w:t>
      </w:r>
      <w:r w:rsidR="00EB532E">
        <w:rPr>
          <w:rFonts w:asciiTheme="minorHAnsi" w:hAnsiTheme="minorHAnsi"/>
          <w:szCs w:val="22"/>
        </w:rPr>
        <w:t>.</w:t>
      </w:r>
    </w:p>
    <w:p w14:paraId="2A098140" w14:textId="77777777" w:rsidR="006F6D32" w:rsidRPr="00705782" w:rsidRDefault="006F6D32" w:rsidP="00EB532E">
      <w:pPr>
        <w:numPr>
          <w:ilvl w:val="0"/>
          <w:numId w:val="22"/>
        </w:numPr>
        <w:spacing w:before="120" w:after="60" w:line="276" w:lineRule="auto"/>
        <w:ind w:left="720" w:hanging="425"/>
        <w:contextualSpacing/>
        <w:jc w:val="both"/>
        <w:rPr>
          <w:rFonts w:asciiTheme="minorHAnsi" w:hAnsiTheme="minorHAnsi"/>
          <w:szCs w:val="22"/>
        </w:rPr>
      </w:pPr>
      <w:r w:rsidRPr="00705782">
        <w:rPr>
          <w:rFonts w:asciiTheme="minorHAnsi" w:hAnsiTheme="minorHAnsi"/>
          <w:szCs w:val="22"/>
        </w:rPr>
        <w:t xml:space="preserve">For credit risk management purposes, although materially may be </w:t>
      </w:r>
      <w:r w:rsidR="00D162D6" w:rsidRPr="00705782">
        <w:rPr>
          <w:rFonts w:asciiTheme="minorHAnsi" w:hAnsiTheme="minorHAnsi"/>
          <w:szCs w:val="22"/>
        </w:rPr>
        <w:t>quantified</w:t>
      </w:r>
      <w:r w:rsidRPr="00705782">
        <w:rPr>
          <w:rFonts w:asciiTheme="minorHAnsi" w:hAnsiTheme="minorHAnsi"/>
          <w:szCs w:val="22"/>
        </w:rPr>
        <w:t xml:space="preserve">, it is typically a judgmental view of the significance of an item relative to </w:t>
      </w:r>
      <w:r w:rsidR="00CB1252" w:rsidRPr="00705782">
        <w:rPr>
          <w:rFonts w:asciiTheme="minorHAnsi" w:hAnsiTheme="minorHAnsi"/>
          <w:szCs w:val="22"/>
        </w:rPr>
        <w:t>asset/liability concentration or impact on revenue/profitability.</w:t>
      </w:r>
    </w:p>
    <w:p w14:paraId="49B044F3" w14:textId="77777777" w:rsidR="00014539" w:rsidRPr="00705782" w:rsidRDefault="00612EF6" w:rsidP="00EB532E">
      <w:pPr>
        <w:pStyle w:val="NormalWeb"/>
        <w:spacing w:before="120" w:beforeAutospacing="0" w:after="60" w:afterAutospacing="0" w:line="276" w:lineRule="auto"/>
        <w:ind w:right="29"/>
        <w:contextualSpacing/>
        <w:jc w:val="both"/>
        <w:rPr>
          <w:rFonts w:asciiTheme="minorHAnsi" w:hAnsiTheme="minorHAnsi" w:cs="Arial"/>
          <w:color w:val="06357A"/>
          <w:szCs w:val="22"/>
        </w:rPr>
      </w:pPr>
      <w:r w:rsidRPr="00705782">
        <w:rPr>
          <w:rFonts w:asciiTheme="minorHAnsi" w:hAnsiTheme="minorHAnsi"/>
          <w:b/>
          <w:i/>
          <w:szCs w:val="22"/>
        </w:rPr>
        <w:t>Non-conforming Residential Mortgage</w:t>
      </w:r>
      <w:r w:rsidR="00CA5346" w:rsidRPr="00705782">
        <w:rPr>
          <w:rFonts w:asciiTheme="minorHAnsi" w:hAnsiTheme="minorHAnsi"/>
          <w:b/>
          <w:i/>
          <w:szCs w:val="22"/>
        </w:rPr>
        <w:t>:</w:t>
      </w:r>
      <w:r w:rsidR="00CA5346" w:rsidRPr="00705782">
        <w:rPr>
          <w:rFonts w:asciiTheme="minorHAnsi" w:hAnsiTheme="minorHAnsi"/>
          <w:szCs w:val="22"/>
        </w:rPr>
        <w:t xml:space="preserve"> </w:t>
      </w:r>
      <w:r w:rsidR="00014539" w:rsidRPr="00705782">
        <w:rPr>
          <w:rFonts w:asciiTheme="minorHAnsi" w:hAnsiTheme="minorHAnsi"/>
          <w:szCs w:val="22"/>
        </w:rPr>
        <w:t xml:space="preserve">Non-conforming </w:t>
      </w:r>
      <w:r w:rsidR="00014539" w:rsidRPr="006538DB">
        <w:rPr>
          <w:rFonts w:asciiTheme="minorHAnsi" w:hAnsiTheme="minorHAnsi"/>
          <w:szCs w:val="22"/>
        </w:rPr>
        <w:t>mo</w:t>
      </w:r>
      <w:r w:rsidR="00014539" w:rsidRPr="006538DB">
        <w:rPr>
          <w:rFonts w:asciiTheme="minorHAnsi" w:eastAsia="Calibri" w:hAnsiTheme="minorHAnsi" w:cs="Arial"/>
          <w:szCs w:val="22"/>
          <w:lang w:eastAsia="ja-JP"/>
        </w:rPr>
        <w:t xml:space="preserve">rtgages are a subset of </w:t>
      </w:r>
      <w:r w:rsidR="00673678" w:rsidRPr="006538DB">
        <w:rPr>
          <w:rFonts w:asciiTheme="minorHAnsi" w:eastAsia="Calibri" w:hAnsiTheme="minorHAnsi" w:cs="Arial"/>
          <w:szCs w:val="22"/>
          <w:lang w:eastAsia="ja-JP"/>
        </w:rPr>
        <w:t>uninsured</w:t>
      </w:r>
      <w:r w:rsidR="00014539" w:rsidRPr="006538DB">
        <w:rPr>
          <w:rFonts w:asciiTheme="minorHAnsi" w:eastAsia="Calibri" w:hAnsiTheme="minorHAnsi" w:cs="Arial"/>
          <w:szCs w:val="22"/>
          <w:lang w:eastAsia="ja-JP"/>
        </w:rPr>
        <w:t xml:space="preserve"> mortgage loans and are broadly defined as having higher-risk attributes or deficiencies, relative to other </w:t>
      </w:r>
      <w:r w:rsidR="00673678" w:rsidRPr="006538DB">
        <w:rPr>
          <w:rFonts w:asciiTheme="minorHAnsi" w:eastAsia="Calibri" w:hAnsiTheme="minorHAnsi" w:cs="Arial"/>
          <w:szCs w:val="22"/>
          <w:lang w:eastAsia="ja-JP"/>
        </w:rPr>
        <w:t>uninsured</w:t>
      </w:r>
      <w:r w:rsidR="00014539" w:rsidRPr="006538DB">
        <w:rPr>
          <w:rFonts w:asciiTheme="minorHAnsi" w:eastAsia="Calibri" w:hAnsiTheme="minorHAnsi" w:cs="Arial"/>
          <w:szCs w:val="22"/>
          <w:lang w:eastAsia="ja-JP"/>
        </w:rPr>
        <w:t xml:space="preserve"> mortgages. Non-conforming </w:t>
      </w:r>
      <w:r w:rsidR="00673678" w:rsidRPr="006538DB">
        <w:rPr>
          <w:rFonts w:asciiTheme="minorHAnsi" w:eastAsia="Calibri" w:hAnsiTheme="minorHAnsi" w:cs="Arial"/>
          <w:szCs w:val="22"/>
          <w:lang w:eastAsia="ja-JP"/>
        </w:rPr>
        <w:t xml:space="preserve">characteristics </w:t>
      </w:r>
      <w:r w:rsidR="00014539" w:rsidRPr="006538DB">
        <w:rPr>
          <w:rFonts w:asciiTheme="minorHAnsi" w:eastAsia="Calibri" w:hAnsiTheme="minorHAnsi" w:cs="Arial"/>
          <w:szCs w:val="22"/>
          <w:lang w:eastAsia="ja-JP"/>
        </w:rPr>
        <w:t xml:space="preserve">can include non-income qualifying loans, loans to those with low credit scores or high debt service ratios, </w:t>
      </w:r>
      <w:r w:rsidR="00673678" w:rsidRPr="006538DB">
        <w:rPr>
          <w:rFonts w:asciiTheme="minorHAnsi" w:eastAsia="Calibri" w:hAnsiTheme="minorHAnsi" w:cs="Arial"/>
          <w:szCs w:val="22"/>
          <w:lang w:eastAsia="ja-JP"/>
        </w:rPr>
        <w:t>security values</w:t>
      </w:r>
      <w:r w:rsidR="00014539" w:rsidRPr="006538DB">
        <w:rPr>
          <w:rFonts w:asciiTheme="minorHAnsi" w:eastAsia="Calibri" w:hAnsiTheme="minorHAnsi" w:cs="Arial"/>
          <w:szCs w:val="22"/>
          <w:lang w:eastAsia="ja-JP"/>
        </w:rPr>
        <w:t xml:space="preserve"> where attributes of the property cause the loan to carry elevated credit risk (e.g., illiquid properties) or any </w:t>
      </w:r>
      <w:r w:rsidR="004645DA" w:rsidRPr="006538DB">
        <w:rPr>
          <w:rFonts w:asciiTheme="minorHAnsi" w:eastAsia="Calibri" w:hAnsiTheme="minorHAnsi" w:cs="Arial"/>
          <w:szCs w:val="22"/>
          <w:lang w:eastAsia="ja-JP"/>
        </w:rPr>
        <w:t xml:space="preserve">uninsured </w:t>
      </w:r>
      <w:r w:rsidR="00673678" w:rsidRPr="006538DB">
        <w:rPr>
          <w:rFonts w:asciiTheme="minorHAnsi" w:eastAsia="Calibri" w:hAnsiTheme="minorHAnsi" w:cs="Arial"/>
          <w:szCs w:val="22"/>
          <w:lang w:eastAsia="ja-JP"/>
        </w:rPr>
        <w:t>mortgage</w:t>
      </w:r>
      <w:r w:rsidR="00014539" w:rsidRPr="006538DB">
        <w:rPr>
          <w:rFonts w:asciiTheme="minorHAnsi" w:eastAsia="Calibri" w:hAnsiTheme="minorHAnsi" w:cs="Arial"/>
          <w:szCs w:val="22"/>
          <w:lang w:eastAsia="ja-JP"/>
        </w:rPr>
        <w:t xml:space="preserve"> that has clear deficiencies relative to a conforming </w:t>
      </w:r>
      <w:r w:rsidR="00673678" w:rsidRPr="006538DB">
        <w:rPr>
          <w:rFonts w:asciiTheme="minorHAnsi" w:eastAsia="Calibri" w:hAnsiTheme="minorHAnsi" w:cs="Arial"/>
          <w:szCs w:val="22"/>
          <w:lang w:eastAsia="ja-JP"/>
        </w:rPr>
        <w:t xml:space="preserve">uninsured </w:t>
      </w:r>
      <w:r w:rsidR="00014539" w:rsidRPr="006538DB">
        <w:rPr>
          <w:rFonts w:asciiTheme="minorHAnsi" w:eastAsia="Calibri" w:hAnsiTheme="minorHAnsi" w:cs="Arial"/>
          <w:szCs w:val="22"/>
          <w:lang w:eastAsia="ja-JP"/>
        </w:rPr>
        <w:t>residential mortgage.</w:t>
      </w:r>
    </w:p>
    <w:p w14:paraId="0A51E9CF" w14:textId="77777777" w:rsidR="009B676D" w:rsidRPr="00705782" w:rsidRDefault="00CD2991" w:rsidP="00EB532E">
      <w:pPr>
        <w:spacing w:before="120" w:after="60" w:line="276" w:lineRule="auto"/>
        <w:contextualSpacing/>
        <w:jc w:val="both"/>
        <w:rPr>
          <w:rFonts w:asciiTheme="minorHAnsi" w:hAnsiTheme="minorHAnsi"/>
          <w:b/>
          <w:i/>
          <w:szCs w:val="22"/>
        </w:rPr>
      </w:pPr>
      <w:r w:rsidRPr="00705782">
        <w:rPr>
          <w:rFonts w:asciiTheme="minorHAnsi" w:hAnsiTheme="minorHAnsi"/>
          <w:b/>
          <w:i/>
          <w:szCs w:val="22"/>
        </w:rPr>
        <w:t>Quality Mortgage:</w:t>
      </w:r>
    </w:p>
    <w:p w14:paraId="03836147" w14:textId="77777777" w:rsidR="00CD2991" w:rsidRPr="00705782" w:rsidRDefault="00A15C9D" w:rsidP="00EB532E">
      <w:pPr>
        <w:numPr>
          <w:ilvl w:val="0"/>
          <w:numId w:val="29"/>
        </w:numPr>
        <w:spacing w:before="120" w:after="60" w:line="276" w:lineRule="auto"/>
        <w:contextualSpacing/>
        <w:jc w:val="both"/>
        <w:rPr>
          <w:rFonts w:asciiTheme="minorHAnsi" w:hAnsiTheme="minorHAnsi"/>
          <w:szCs w:val="22"/>
        </w:rPr>
      </w:pPr>
      <w:r w:rsidRPr="00705782">
        <w:rPr>
          <w:rFonts w:asciiTheme="minorHAnsi" w:hAnsiTheme="minorHAnsi"/>
          <w:szCs w:val="22"/>
        </w:rPr>
        <w:t xml:space="preserve">A </w:t>
      </w:r>
      <w:r w:rsidR="009B676D" w:rsidRPr="00705782">
        <w:rPr>
          <w:rFonts w:asciiTheme="minorHAnsi" w:hAnsiTheme="minorHAnsi"/>
          <w:szCs w:val="22"/>
        </w:rPr>
        <w:t xml:space="preserve">residential </w:t>
      </w:r>
      <w:r w:rsidRPr="00705782">
        <w:rPr>
          <w:rFonts w:asciiTheme="minorHAnsi" w:hAnsiTheme="minorHAnsi"/>
          <w:szCs w:val="22"/>
        </w:rPr>
        <w:t xml:space="preserve">mortgage where the amount of the </w:t>
      </w:r>
      <w:r w:rsidR="002E2803" w:rsidRPr="00705782">
        <w:rPr>
          <w:rFonts w:asciiTheme="minorHAnsi" w:hAnsiTheme="minorHAnsi"/>
          <w:szCs w:val="22"/>
        </w:rPr>
        <w:t>indebtedness</w:t>
      </w:r>
      <w:r w:rsidRPr="00705782">
        <w:rPr>
          <w:rFonts w:asciiTheme="minorHAnsi" w:hAnsiTheme="minorHAnsi"/>
          <w:szCs w:val="22"/>
        </w:rPr>
        <w:t xml:space="preserve">, including prior charges does not </w:t>
      </w:r>
      <w:r w:rsidR="002E2803" w:rsidRPr="00705782">
        <w:rPr>
          <w:rFonts w:asciiTheme="minorHAnsi" w:hAnsiTheme="minorHAnsi"/>
          <w:szCs w:val="22"/>
        </w:rPr>
        <w:t>exceed</w:t>
      </w:r>
      <w:r w:rsidRPr="00705782">
        <w:rPr>
          <w:rFonts w:asciiTheme="minorHAnsi" w:hAnsiTheme="minorHAnsi"/>
          <w:szCs w:val="22"/>
        </w:rPr>
        <w:t xml:space="preserve"> 80% of the fair market value, unless insured. </w:t>
      </w:r>
      <w:r w:rsidR="00CD2991" w:rsidRPr="00705782">
        <w:rPr>
          <w:rFonts w:asciiTheme="minorHAnsi" w:hAnsiTheme="minorHAnsi"/>
          <w:szCs w:val="22"/>
        </w:rPr>
        <w:t>Credit</w:t>
      </w:r>
      <w:r w:rsidRPr="00705782">
        <w:rPr>
          <w:rFonts w:asciiTheme="minorHAnsi" w:hAnsiTheme="minorHAnsi"/>
          <w:szCs w:val="22"/>
        </w:rPr>
        <w:t xml:space="preserve"> </w:t>
      </w:r>
      <w:r w:rsidR="00CD2991" w:rsidRPr="00705782">
        <w:rPr>
          <w:rFonts w:asciiTheme="minorHAnsi" w:hAnsiTheme="minorHAnsi"/>
          <w:szCs w:val="22"/>
        </w:rPr>
        <w:t>Union Principal Regulation 1(1)(m)</w:t>
      </w:r>
      <w:r w:rsidR="00EB532E">
        <w:rPr>
          <w:rFonts w:asciiTheme="minorHAnsi" w:hAnsiTheme="minorHAnsi"/>
          <w:szCs w:val="22"/>
        </w:rPr>
        <w:t>.</w:t>
      </w:r>
    </w:p>
    <w:p w14:paraId="6237814F" w14:textId="77777777" w:rsidR="009B676D" w:rsidRPr="00705782" w:rsidRDefault="003548F0" w:rsidP="00EB532E">
      <w:pPr>
        <w:numPr>
          <w:ilvl w:val="0"/>
          <w:numId w:val="29"/>
        </w:numPr>
        <w:spacing w:before="120" w:after="60" w:line="276" w:lineRule="auto"/>
        <w:contextualSpacing/>
        <w:jc w:val="both"/>
        <w:rPr>
          <w:rFonts w:asciiTheme="minorHAnsi" w:hAnsiTheme="minorHAnsi"/>
          <w:szCs w:val="22"/>
        </w:rPr>
      </w:pPr>
      <w:r w:rsidRPr="00705782">
        <w:rPr>
          <w:rFonts w:asciiTheme="minorHAnsi" w:hAnsiTheme="minorHAnsi"/>
          <w:szCs w:val="22"/>
        </w:rPr>
        <w:t xml:space="preserve">A non-residential mortgage, including prior charges does not exceed 75% of the fair market </w:t>
      </w:r>
      <w:r w:rsidR="00FD6157" w:rsidRPr="00705782">
        <w:rPr>
          <w:rFonts w:asciiTheme="minorHAnsi" w:hAnsiTheme="minorHAnsi"/>
          <w:szCs w:val="22"/>
        </w:rPr>
        <w:t>value, without</w:t>
      </w:r>
      <w:r w:rsidRPr="00705782">
        <w:rPr>
          <w:rFonts w:asciiTheme="minorHAnsi" w:hAnsiTheme="minorHAnsi"/>
          <w:szCs w:val="22"/>
        </w:rPr>
        <w:t xml:space="preserve"> CUDGC approval.</w:t>
      </w:r>
    </w:p>
    <w:p w14:paraId="0668AD76" w14:textId="77777777" w:rsidR="00CA5346" w:rsidRPr="00705782" w:rsidRDefault="00CA5346" w:rsidP="00EB532E">
      <w:pPr>
        <w:spacing w:before="120" w:after="60" w:line="276" w:lineRule="auto"/>
        <w:jc w:val="both"/>
        <w:rPr>
          <w:rFonts w:asciiTheme="minorHAnsi" w:hAnsiTheme="minorHAnsi"/>
          <w:szCs w:val="22"/>
        </w:rPr>
      </w:pPr>
      <w:r w:rsidRPr="00705782">
        <w:rPr>
          <w:rFonts w:asciiTheme="minorHAnsi" w:hAnsiTheme="minorHAnsi"/>
          <w:b/>
          <w:i/>
          <w:szCs w:val="22"/>
        </w:rPr>
        <w:t>Risk Appetite</w:t>
      </w:r>
      <w:r w:rsidR="002C4CC4" w:rsidRPr="00705782">
        <w:rPr>
          <w:rFonts w:asciiTheme="minorHAnsi" w:hAnsiTheme="minorHAnsi"/>
          <w:b/>
          <w:i/>
          <w:szCs w:val="22"/>
        </w:rPr>
        <w:t>:</w:t>
      </w:r>
      <w:r w:rsidR="002C4CC4" w:rsidRPr="00705782">
        <w:rPr>
          <w:rFonts w:asciiTheme="minorHAnsi" w:hAnsiTheme="minorHAnsi"/>
          <w:szCs w:val="22"/>
        </w:rPr>
        <w:t xml:space="preserve"> The amount of risk the Board is willing to accept on behalf </w:t>
      </w:r>
      <w:r w:rsidR="00D935A8" w:rsidRPr="00705782">
        <w:rPr>
          <w:rFonts w:asciiTheme="minorHAnsi" w:hAnsiTheme="minorHAnsi"/>
          <w:szCs w:val="22"/>
        </w:rPr>
        <w:t>of shareholders</w:t>
      </w:r>
      <w:r w:rsidR="002C4CC4" w:rsidRPr="00705782">
        <w:rPr>
          <w:rFonts w:asciiTheme="minorHAnsi" w:hAnsiTheme="minorHAnsi"/>
          <w:szCs w:val="22"/>
        </w:rPr>
        <w:t>/stakeholders.</w:t>
      </w:r>
    </w:p>
    <w:p w14:paraId="78D341B5" w14:textId="77777777" w:rsidR="00CA5346" w:rsidRPr="00705782" w:rsidRDefault="00CA5346" w:rsidP="00EB532E">
      <w:pPr>
        <w:spacing w:before="120" w:after="60" w:line="276" w:lineRule="auto"/>
        <w:jc w:val="both"/>
        <w:rPr>
          <w:rFonts w:asciiTheme="minorHAnsi" w:hAnsiTheme="minorHAnsi"/>
          <w:szCs w:val="22"/>
        </w:rPr>
      </w:pPr>
      <w:r w:rsidRPr="00705782">
        <w:rPr>
          <w:rFonts w:asciiTheme="minorHAnsi" w:hAnsiTheme="minorHAnsi"/>
          <w:b/>
          <w:i/>
          <w:szCs w:val="22"/>
        </w:rPr>
        <w:t>Risk Tolerance</w:t>
      </w:r>
      <w:r w:rsidR="002C4CC4" w:rsidRPr="00705782">
        <w:rPr>
          <w:rFonts w:asciiTheme="minorHAnsi" w:hAnsiTheme="minorHAnsi"/>
          <w:b/>
          <w:i/>
          <w:szCs w:val="22"/>
        </w:rPr>
        <w:t>:</w:t>
      </w:r>
      <w:r w:rsidR="002C4CC4" w:rsidRPr="00705782">
        <w:rPr>
          <w:rFonts w:asciiTheme="minorHAnsi" w:hAnsiTheme="minorHAnsi"/>
          <w:szCs w:val="22"/>
        </w:rPr>
        <w:t xml:space="preserve"> Quantification of risk appetite through risk positions or ranges</w:t>
      </w:r>
      <w:r w:rsidR="00EB532E">
        <w:rPr>
          <w:rFonts w:asciiTheme="minorHAnsi" w:hAnsiTheme="minorHAnsi"/>
          <w:szCs w:val="22"/>
        </w:rPr>
        <w:t>.</w:t>
      </w:r>
      <w:r w:rsidR="002C4CC4" w:rsidRPr="00705782">
        <w:rPr>
          <w:rFonts w:asciiTheme="minorHAnsi" w:hAnsiTheme="minorHAnsi"/>
          <w:szCs w:val="22"/>
        </w:rPr>
        <w:t xml:space="preserve"> </w:t>
      </w:r>
    </w:p>
    <w:p w14:paraId="5B8CC5A6" w14:textId="77777777" w:rsidR="0009143C" w:rsidRPr="00705782" w:rsidRDefault="00612EF6" w:rsidP="00EB532E">
      <w:pPr>
        <w:spacing w:before="120" w:after="60" w:line="276" w:lineRule="auto"/>
        <w:jc w:val="both"/>
        <w:rPr>
          <w:rFonts w:asciiTheme="minorHAnsi" w:hAnsiTheme="minorHAnsi"/>
          <w:szCs w:val="22"/>
        </w:rPr>
      </w:pPr>
      <w:r w:rsidRPr="00705782">
        <w:rPr>
          <w:rFonts w:asciiTheme="minorHAnsi" w:hAnsiTheme="minorHAnsi"/>
          <w:b/>
          <w:i/>
          <w:szCs w:val="22"/>
        </w:rPr>
        <w:lastRenderedPageBreak/>
        <w:t>Sensitivity A</w:t>
      </w:r>
      <w:r w:rsidR="0009143C" w:rsidRPr="00705782">
        <w:rPr>
          <w:rFonts w:asciiTheme="minorHAnsi" w:hAnsiTheme="minorHAnsi"/>
          <w:b/>
          <w:i/>
          <w:szCs w:val="22"/>
        </w:rPr>
        <w:t>nalysis:</w:t>
      </w:r>
      <w:r w:rsidR="005D2EE5" w:rsidRPr="00705782">
        <w:rPr>
          <w:rFonts w:asciiTheme="minorHAnsi" w:hAnsiTheme="minorHAnsi"/>
          <w:szCs w:val="22"/>
        </w:rPr>
        <w:t xml:space="preserve"> Typically applies a constrained shock, such as a 2% interest rate increase to a single loan exposure, for the purpose of assessing a member’s repayment capacity under </w:t>
      </w:r>
      <w:r w:rsidR="00EB532E">
        <w:rPr>
          <w:rFonts w:asciiTheme="minorHAnsi" w:hAnsiTheme="minorHAnsi"/>
          <w:szCs w:val="22"/>
        </w:rPr>
        <w:t>a potential</w:t>
      </w:r>
      <w:r w:rsidR="00033A28" w:rsidRPr="00705782">
        <w:rPr>
          <w:rFonts w:asciiTheme="minorHAnsi" w:hAnsiTheme="minorHAnsi"/>
          <w:szCs w:val="22"/>
        </w:rPr>
        <w:t xml:space="preserve">, however realistic </w:t>
      </w:r>
      <w:r w:rsidR="005D2EE5" w:rsidRPr="00705782">
        <w:rPr>
          <w:rFonts w:asciiTheme="minorHAnsi" w:hAnsiTheme="minorHAnsi"/>
          <w:szCs w:val="22"/>
        </w:rPr>
        <w:t>deteriorati</w:t>
      </w:r>
      <w:r w:rsidR="00033A28" w:rsidRPr="00705782">
        <w:rPr>
          <w:rFonts w:asciiTheme="minorHAnsi" w:hAnsiTheme="minorHAnsi"/>
          <w:szCs w:val="22"/>
        </w:rPr>
        <w:t>o</w:t>
      </w:r>
      <w:r w:rsidR="005D2EE5" w:rsidRPr="00705782">
        <w:rPr>
          <w:rFonts w:asciiTheme="minorHAnsi" w:hAnsiTheme="minorHAnsi"/>
          <w:szCs w:val="22"/>
        </w:rPr>
        <w:t>n</w:t>
      </w:r>
      <w:r w:rsidR="00033A28" w:rsidRPr="00705782">
        <w:rPr>
          <w:rFonts w:asciiTheme="minorHAnsi" w:hAnsiTheme="minorHAnsi"/>
          <w:szCs w:val="22"/>
        </w:rPr>
        <w:t xml:space="preserve"> of </w:t>
      </w:r>
      <w:r w:rsidR="005D2EE5" w:rsidRPr="00705782">
        <w:rPr>
          <w:rFonts w:asciiTheme="minorHAnsi" w:hAnsiTheme="minorHAnsi"/>
          <w:szCs w:val="22"/>
        </w:rPr>
        <w:t>economic conditions.</w:t>
      </w:r>
    </w:p>
    <w:p w14:paraId="428745C0" w14:textId="77777777" w:rsidR="00091752" w:rsidRPr="00705782" w:rsidRDefault="00396D18" w:rsidP="00EB532E">
      <w:pPr>
        <w:spacing w:before="120" w:after="60" w:line="276" w:lineRule="auto"/>
        <w:jc w:val="both"/>
        <w:rPr>
          <w:rFonts w:asciiTheme="minorHAnsi" w:hAnsiTheme="minorHAnsi"/>
          <w:szCs w:val="22"/>
        </w:rPr>
      </w:pPr>
      <w:r w:rsidRPr="00705782">
        <w:rPr>
          <w:rFonts w:asciiTheme="minorHAnsi" w:hAnsiTheme="minorHAnsi"/>
          <w:b/>
          <w:i/>
          <w:szCs w:val="22"/>
        </w:rPr>
        <w:t>Stress Testing</w:t>
      </w:r>
      <w:r w:rsidR="00091752" w:rsidRPr="00705782">
        <w:rPr>
          <w:rFonts w:asciiTheme="minorHAnsi" w:hAnsiTheme="minorHAnsi"/>
          <w:b/>
          <w:i/>
          <w:szCs w:val="22"/>
        </w:rPr>
        <w:t>:</w:t>
      </w:r>
      <w:r w:rsidR="00EB532E">
        <w:rPr>
          <w:rFonts w:asciiTheme="minorHAnsi" w:hAnsiTheme="minorHAnsi"/>
          <w:szCs w:val="22"/>
        </w:rPr>
        <w:t xml:space="preserve"> </w:t>
      </w:r>
      <w:r w:rsidR="00A15C9D" w:rsidRPr="00705782">
        <w:rPr>
          <w:rFonts w:asciiTheme="minorHAnsi" w:hAnsiTheme="minorHAnsi"/>
          <w:szCs w:val="22"/>
        </w:rPr>
        <w:t xml:space="preserve">A simulation technique </w:t>
      </w:r>
      <w:r w:rsidR="0009143C" w:rsidRPr="00705782">
        <w:rPr>
          <w:rFonts w:asciiTheme="minorHAnsi" w:hAnsiTheme="minorHAnsi"/>
          <w:szCs w:val="22"/>
        </w:rPr>
        <w:t xml:space="preserve">applying </w:t>
      </w:r>
      <w:r w:rsidR="00683CD9" w:rsidRPr="00705782">
        <w:rPr>
          <w:rFonts w:asciiTheme="minorHAnsi" w:hAnsiTheme="minorHAnsi"/>
          <w:szCs w:val="22"/>
        </w:rPr>
        <w:t xml:space="preserve">single or multiple shocks to a loan portfolio or portfolio segment to assess the potential cost to the institution, resulting from increased loan losses. Typical shocks for a loan portfolio could include a material increase in interest rates, unemployment rates and/or a material decrease in residential or commercial real estate prices. The shocks </w:t>
      </w:r>
      <w:r w:rsidR="00D935A8" w:rsidRPr="00705782">
        <w:rPr>
          <w:rFonts w:asciiTheme="minorHAnsi" w:hAnsiTheme="minorHAnsi"/>
          <w:szCs w:val="22"/>
        </w:rPr>
        <w:t>should represent</w:t>
      </w:r>
      <w:r w:rsidR="005D2EE5" w:rsidRPr="00705782">
        <w:rPr>
          <w:rFonts w:asciiTheme="minorHAnsi" w:hAnsiTheme="minorHAnsi"/>
          <w:szCs w:val="22"/>
        </w:rPr>
        <w:t xml:space="preserve"> a </w:t>
      </w:r>
      <w:proofErr w:type="gramStart"/>
      <w:r w:rsidR="005D2EE5" w:rsidRPr="00705782">
        <w:rPr>
          <w:rFonts w:asciiTheme="minorHAnsi" w:hAnsiTheme="minorHAnsi"/>
          <w:szCs w:val="22"/>
        </w:rPr>
        <w:t>worst case</w:t>
      </w:r>
      <w:proofErr w:type="gramEnd"/>
      <w:r w:rsidR="005D2EE5" w:rsidRPr="00705782">
        <w:rPr>
          <w:rFonts w:asciiTheme="minorHAnsi" w:hAnsiTheme="minorHAnsi"/>
          <w:szCs w:val="22"/>
        </w:rPr>
        <w:t xml:space="preserve"> event(s), to assess the maximum potential loss</w:t>
      </w:r>
      <w:r w:rsidR="00033A28" w:rsidRPr="00705782">
        <w:rPr>
          <w:rFonts w:asciiTheme="minorHAnsi" w:hAnsiTheme="minorHAnsi"/>
          <w:szCs w:val="22"/>
        </w:rPr>
        <w:t xml:space="preserve"> against available capital</w:t>
      </w:r>
      <w:r w:rsidR="005D2EE5" w:rsidRPr="00705782">
        <w:rPr>
          <w:rFonts w:asciiTheme="minorHAnsi" w:hAnsiTheme="minorHAnsi"/>
          <w:szCs w:val="22"/>
        </w:rPr>
        <w:t xml:space="preserve">. </w:t>
      </w:r>
      <w:r w:rsidR="00683CD9" w:rsidRPr="00705782">
        <w:rPr>
          <w:rFonts w:asciiTheme="minorHAnsi" w:hAnsiTheme="minorHAnsi"/>
          <w:szCs w:val="22"/>
        </w:rPr>
        <w:t>Stress testing may be sometime</w:t>
      </w:r>
      <w:r w:rsidR="005D2EE5" w:rsidRPr="00705782">
        <w:rPr>
          <w:rFonts w:asciiTheme="minorHAnsi" w:hAnsiTheme="minorHAnsi"/>
          <w:szCs w:val="22"/>
        </w:rPr>
        <w:t>s</w:t>
      </w:r>
      <w:r w:rsidR="00683CD9" w:rsidRPr="00705782">
        <w:rPr>
          <w:rFonts w:asciiTheme="minorHAnsi" w:hAnsiTheme="minorHAnsi"/>
          <w:szCs w:val="22"/>
        </w:rPr>
        <w:t xml:space="preserve"> referred to as </w:t>
      </w:r>
      <w:r w:rsidR="00033A28" w:rsidRPr="00705782">
        <w:rPr>
          <w:rFonts w:asciiTheme="minorHAnsi" w:hAnsiTheme="minorHAnsi"/>
          <w:szCs w:val="22"/>
        </w:rPr>
        <w:t>a</w:t>
      </w:r>
      <w:r w:rsidR="00683CD9" w:rsidRPr="00705782">
        <w:rPr>
          <w:rFonts w:asciiTheme="minorHAnsi" w:hAnsiTheme="minorHAnsi"/>
          <w:szCs w:val="22"/>
        </w:rPr>
        <w:t xml:space="preserve"> multi-scenario analysis.</w:t>
      </w:r>
    </w:p>
    <w:p w14:paraId="5A8BA56C" w14:textId="77777777" w:rsidR="00396D18" w:rsidRPr="00705782" w:rsidRDefault="00396D18" w:rsidP="00EB532E">
      <w:pPr>
        <w:spacing w:before="120" w:after="60" w:line="276" w:lineRule="auto"/>
        <w:jc w:val="both"/>
        <w:rPr>
          <w:rFonts w:asciiTheme="minorHAnsi" w:hAnsiTheme="minorHAnsi"/>
          <w:szCs w:val="22"/>
        </w:rPr>
      </w:pPr>
      <w:r w:rsidRPr="00705782">
        <w:rPr>
          <w:rFonts w:asciiTheme="minorHAnsi" w:hAnsiTheme="minorHAnsi"/>
          <w:b/>
          <w:i/>
          <w:szCs w:val="22"/>
        </w:rPr>
        <w:t>Syndicated Loans</w:t>
      </w:r>
      <w:r w:rsidR="00091752" w:rsidRPr="00705782">
        <w:rPr>
          <w:rFonts w:asciiTheme="minorHAnsi" w:hAnsiTheme="minorHAnsi"/>
          <w:b/>
          <w:i/>
          <w:szCs w:val="22"/>
        </w:rPr>
        <w:t>:</w:t>
      </w:r>
      <w:r w:rsidR="005D2EE5" w:rsidRPr="00705782">
        <w:rPr>
          <w:rFonts w:asciiTheme="minorHAnsi" w:hAnsiTheme="minorHAnsi"/>
          <w:szCs w:val="22"/>
        </w:rPr>
        <w:t xml:space="preserve"> </w:t>
      </w:r>
      <w:r w:rsidR="00033A28" w:rsidRPr="00705782">
        <w:rPr>
          <w:rFonts w:asciiTheme="minorHAnsi" w:hAnsiTheme="minorHAnsi"/>
          <w:szCs w:val="22"/>
        </w:rPr>
        <w:t xml:space="preserve">A credit facility structured by a lead bank and offered to select lenders under a participation agreement. </w:t>
      </w:r>
      <w:r w:rsidR="00465AC2" w:rsidRPr="00705782">
        <w:rPr>
          <w:rFonts w:asciiTheme="minorHAnsi" w:hAnsiTheme="minorHAnsi"/>
          <w:szCs w:val="22"/>
        </w:rPr>
        <w:t>E</w:t>
      </w:r>
      <w:r w:rsidR="00033A28" w:rsidRPr="00705782">
        <w:rPr>
          <w:rFonts w:asciiTheme="minorHAnsi" w:hAnsiTheme="minorHAnsi"/>
          <w:szCs w:val="22"/>
        </w:rPr>
        <w:t xml:space="preserve">ach participant is responsible to independently assess the credit risk and returns, </w:t>
      </w:r>
      <w:r w:rsidR="00465AC2" w:rsidRPr="00705782">
        <w:rPr>
          <w:rFonts w:asciiTheme="minorHAnsi" w:hAnsiTheme="minorHAnsi"/>
          <w:szCs w:val="22"/>
        </w:rPr>
        <w:t>while borrower contact is restricted to the lead bank.</w:t>
      </w:r>
    </w:p>
    <w:p w14:paraId="3A5615CC" w14:textId="77777777" w:rsidR="00026276" w:rsidRPr="00392020" w:rsidRDefault="00C54826" w:rsidP="00392020">
      <w:pPr>
        <w:pStyle w:val="Title"/>
        <w:spacing w:before="120" w:line="276" w:lineRule="auto"/>
        <w:rPr>
          <w:rFonts w:asciiTheme="minorHAnsi" w:hAnsiTheme="minorHAnsi"/>
          <w:sz w:val="28"/>
          <w:szCs w:val="28"/>
        </w:rPr>
      </w:pPr>
      <w:r w:rsidRPr="00392020">
        <w:rPr>
          <w:rFonts w:asciiTheme="minorHAnsi" w:hAnsiTheme="minorHAnsi"/>
          <w:sz w:val="20"/>
          <w:szCs w:val="20"/>
        </w:rPr>
        <w:br w:type="page"/>
      </w:r>
      <w:bookmarkStart w:id="85" w:name="_Toc321901255"/>
      <w:bookmarkStart w:id="86" w:name="_Toc507416362"/>
      <w:r w:rsidR="00026276" w:rsidRPr="00392020">
        <w:rPr>
          <w:rFonts w:asciiTheme="minorHAnsi" w:hAnsiTheme="minorHAnsi"/>
          <w:sz w:val="28"/>
          <w:szCs w:val="28"/>
        </w:rPr>
        <w:lastRenderedPageBreak/>
        <w:t>Appendix “A” Risk T</w:t>
      </w:r>
      <w:r w:rsidR="004F410A" w:rsidRPr="00392020">
        <w:rPr>
          <w:rFonts w:asciiTheme="minorHAnsi" w:hAnsiTheme="minorHAnsi"/>
          <w:sz w:val="28"/>
          <w:szCs w:val="28"/>
        </w:rPr>
        <w:t>olerance Levels</w:t>
      </w:r>
      <w:bookmarkEnd w:id="85"/>
      <w:bookmarkEnd w:id="86"/>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620"/>
        <w:gridCol w:w="1260"/>
        <w:gridCol w:w="1620"/>
        <w:gridCol w:w="1530"/>
        <w:gridCol w:w="990"/>
        <w:gridCol w:w="990"/>
        <w:gridCol w:w="1530"/>
      </w:tblGrid>
      <w:tr w:rsidR="002F003D" w:rsidRPr="00392020" w14:paraId="71E7F856" w14:textId="77777777" w:rsidTr="00334F1C">
        <w:trPr>
          <w:trHeight w:hRule="exact" w:val="356"/>
        </w:trPr>
        <w:tc>
          <w:tcPr>
            <w:tcW w:w="10827" w:type="dxa"/>
            <w:gridSpan w:val="8"/>
            <w:shd w:val="clear" w:color="auto" w:fill="C6D9F1"/>
            <w:vAlign w:val="center"/>
          </w:tcPr>
          <w:p w14:paraId="138F0CBA" w14:textId="77777777" w:rsidR="002F003D" w:rsidRPr="00392020" w:rsidRDefault="002F003D" w:rsidP="00392020">
            <w:pPr>
              <w:spacing w:line="276" w:lineRule="auto"/>
              <w:jc w:val="center"/>
              <w:rPr>
                <w:rFonts w:asciiTheme="minorHAnsi" w:hAnsiTheme="minorHAnsi"/>
                <w:b/>
                <w:sz w:val="18"/>
                <w:szCs w:val="18"/>
              </w:rPr>
            </w:pPr>
            <w:r w:rsidRPr="00392020">
              <w:rPr>
                <w:rFonts w:asciiTheme="minorHAnsi" w:hAnsiTheme="minorHAnsi"/>
                <w:b/>
                <w:sz w:val="18"/>
                <w:szCs w:val="18"/>
              </w:rPr>
              <w:t>Key Risk Indicators – Risk Matrix</w:t>
            </w:r>
          </w:p>
        </w:tc>
      </w:tr>
      <w:tr w:rsidR="00334F1C" w:rsidRPr="00392020" w14:paraId="293DE151" w14:textId="77777777" w:rsidTr="00086E41">
        <w:trPr>
          <w:trHeight w:hRule="exact" w:val="514"/>
        </w:trPr>
        <w:tc>
          <w:tcPr>
            <w:tcW w:w="1287" w:type="dxa"/>
            <w:shd w:val="clear" w:color="auto" w:fill="C6D9F1"/>
            <w:vAlign w:val="center"/>
          </w:tcPr>
          <w:p w14:paraId="6B2EE0FE" w14:textId="77777777" w:rsidR="00BC7ACA" w:rsidRPr="00392020" w:rsidRDefault="00BC7ACA" w:rsidP="00392020">
            <w:pPr>
              <w:spacing w:line="276" w:lineRule="auto"/>
              <w:jc w:val="center"/>
              <w:rPr>
                <w:rFonts w:asciiTheme="minorHAnsi" w:hAnsiTheme="minorHAnsi"/>
                <w:b/>
                <w:sz w:val="18"/>
                <w:szCs w:val="18"/>
              </w:rPr>
            </w:pPr>
            <w:r w:rsidRPr="00392020">
              <w:rPr>
                <w:rFonts w:asciiTheme="minorHAnsi" w:hAnsiTheme="minorHAnsi"/>
                <w:b/>
                <w:sz w:val="18"/>
                <w:szCs w:val="18"/>
              </w:rPr>
              <w:t>Loan Type</w:t>
            </w:r>
          </w:p>
        </w:tc>
        <w:tc>
          <w:tcPr>
            <w:tcW w:w="1620" w:type="dxa"/>
            <w:shd w:val="clear" w:color="auto" w:fill="C6D9F1"/>
            <w:vAlign w:val="center"/>
          </w:tcPr>
          <w:p w14:paraId="007A63E4" w14:textId="77777777" w:rsidR="00BC7ACA" w:rsidRPr="00392020" w:rsidRDefault="00BC7ACA" w:rsidP="00392020">
            <w:pPr>
              <w:spacing w:line="276" w:lineRule="auto"/>
              <w:jc w:val="center"/>
              <w:rPr>
                <w:rFonts w:asciiTheme="minorHAnsi" w:hAnsiTheme="minorHAnsi"/>
                <w:b/>
                <w:sz w:val="18"/>
                <w:szCs w:val="18"/>
              </w:rPr>
            </w:pPr>
            <w:r w:rsidRPr="00392020">
              <w:rPr>
                <w:rFonts w:asciiTheme="minorHAnsi" w:hAnsiTheme="minorHAnsi"/>
                <w:b/>
                <w:sz w:val="18"/>
                <w:szCs w:val="18"/>
              </w:rPr>
              <w:t>Product</w:t>
            </w:r>
          </w:p>
        </w:tc>
        <w:tc>
          <w:tcPr>
            <w:tcW w:w="1260" w:type="dxa"/>
            <w:shd w:val="clear" w:color="auto" w:fill="C6D9F1"/>
            <w:vAlign w:val="center"/>
          </w:tcPr>
          <w:p w14:paraId="7256DFCB" w14:textId="77777777" w:rsidR="00BC7ACA" w:rsidRPr="00392020" w:rsidRDefault="00BC7ACA" w:rsidP="00392020">
            <w:pPr>
              <w:spacing w:line="276" w:lineRule="auto"/>
              <w:jc w:val="center"/>
              <w:rPr>
                <w:rFonts w:asciiTheme="minorHAnsi" w:hAnsiTheme="minorHAnsi"/>
                <w:b/>
                <w:sz w:val="18"/>
                <w:szCs w:val="18"/>
              </w:rPr>
            </w:pPr>
            <w:r w:rsidRPr="00392020">
              <w:rPr>
                <w:rFonts w:asciiTheme="minorHAnsi" w:hAnsiTheme="minorHAnsi"/>
                <w:b/>
                <w:sz w:val="18"/>
                <w:szCs w:val="18"/>
              </w:rPr>
              <w:t>Condition</w:t>
            </w:r>
          </w:p>
        </w:tc>
        <w:tc>
          <w:tcPr>
            <w:tcW w:w="1620" w:type="dxa"/>
            <w:shd w:val="clear" w:color="auto" w:fill="C6D9F1"/>
            <w:vAlign w:val="center"/>
          </w:tcPr>
          <w:p w14:paraId="09D450E8" w14:textId="77777777" w:rsidR="00BC7ACA" w:rsidRPr="00392020" w:rsidRDefault="00BC7ACA" w:rsidP="00392020">
            <w:pPr>
              <w:spacing w:line="276" w:lineRule="auto"/>
              <w:jc w:val="center"/>
              <w:rPr>
                <w:rFonts w:asciiTheme="minorHAnsi" w:hAnsiTheme="minorHAnsi"/>
                <w:b/>
                <w:sz w:val="18"/>
                <w:szCs w:val="18"/>
              </w:rPr>
            </w:pPr>
            <w:r w:rsidRPr="00392020">
              <w:rPr>
                <w:rFonts w:asciiTheme="minorHAnsi" w:hAnsiTheme="minorHAnsi"/>
                <w:b/>
                <w:sz w:val="18"/>
                <w:szCs w:val="18"/>
              </w:rPr>
              <w:t>Delinquency</w:t>
            </w:r>
          </w:p>
        </w:tc>
        <w:tc>
          <w:tcPr>
            <w:tcW w:w="1530" w:type="dxa"/>
            <w:shd w:val="clear" w:color="auto" w:fill="C6D9F1"/>
            <w:vAlign w:val="center"/>
          </w:tcPr>
          <w:p w14:paraId="31309159" w14:textId="77777777" w:rsidR="00BC7ACA"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Defaults</w:t>
            </w:r>
          </w:p>
        </w:tc>
        <w:tc>
          <w:tcPr>
            <w:tcW w:w="990" w:type="dxa"/>
            <w:shd w:val="clear" w:color="auto" w:fill="C6D9F1"/>
            <w:vAlign w:val="center"/>
          </w:tcPr>
          <w:p w14:paraId="2F44DE99" w14:textId="77777777" w:rsidR="00BC7ACA"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Watch List</w:t>
            </w:r>
          </w:p>
        </w:tc>
        <w:tc>
          <w:tcPr>
            <w:tcW w:w="990" w:type="dxa"/>
            <w:shd w:val="clear" w:color="auto" w:fill="C6D9F1"/>
            <w:vAlign w:val="center"/>
          </w:tcPr>
          <w:p w14:paraId="001C5034" w14:textId="77777777" w:rsidR="00BC7ACA" w:rsidRPr="00392020" w:rsidRDefault="004421F0" w:rsidP="00392020">
            <w:pPr>
              <w:spacing w:line="276" w:lineRule="auto"/>
              <w:jc w:val="center"/>
              <w:rPr>
                <w:rFonts w:asciiTheme="minorHAnsi" w:hAnsiTheme="minorHAnsi"/>
                <w:b/>
                <w:sz w:val="18"/>
                <w:szCs w:val="18"/>
              </w:rPr>
            </w:pPr>
            <w:r w:rsidRPr="00392020">
              <w:rPr>
                <w:rFonts w:asciiTheme="minorHAnsi" w:hAnsiTheme="minorHAnsi"/>
                <w:b/>
                <w:sz w:val="18"/>
                <w:szCs w:val="18"/>
              </w:rPr>
              <w:t>Expired</w:t>
            </w:r>
          </w:p>
        </w:tc>
        <w:tc>
          <w:tcPr>
            <w:tcW w:w="1530" w:type="dxa"/>
            <w:shd w:val="clear" w:color="auto" w:fill="C6D9F1"/>
            <w:vAlign w:val="center"/>
          </w:tcPr>
          <w:p w14:paraId="593D8C58" w14:textId="77777777" w:rsidR="00BC7ACA" w:rsidRPr="00392020" w:rsidRDefault="00BC7ACA" w:rsidP="00392020">
            <w:pPr>
              <w:spacing w:line="276" w:lineRule="auto"/>
              <w:jc w:val="center"/>
              <w:rPr>
                <w:rFonts w:asciiTheme="minorHAnsi" w:hAnsiTheme="minorHAnsi"/>
                <w:b/>
                <w:sz w:val="18"/>
                <w:szCs w:val="18"/>
              </w:rPr>
            </w:pPr>
            <w:r w:rsidRPr="00392020">
              <w:rPr>
                <w:rFonts w:asciiTheme="minorHAnsi" w:hAnsiTheme="minorHAnsi"/>
                <w:b/>
                <w:sz w:val="18"/>
                <w:szCs w:val="18"/>
              </w:rPr>
              <w:t>Write-Offs</w:t>
            </w:r>
          </w:p>
        </w:tc>
      </w:tr>
      <w:tr w:rsidR="00B439C5" w:rsidRPr="00392020" w14:paraId="23D1C8FA" w14:textId="77777777" w:rsidTr="00334F1C">
        <w:trPr>
          <w:trHeight w:hRule="exact" w:val="356"/>
        </w:trPr>
        <w:tc>
          <w:tcPr>
            <w:tcW w:w="1287" w:type="dxa"/>
            <w:vMerge w:val="restart"/>
            <w:shd w:val="clear" w:color="auto" w:fill="C6D9F1"/>
            <w:vAlign w:val="center"/>
          </w:tcPr>
          <w:p w14:paraId="45F99E04"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Consumer</w:t>
            </w:r>
          </w:p>
        </w:tc>
        <w:tc>
          <w:tcPr>
            <w:tcW w:w="1620" w:type="dxa"/>
            <w:vMerge w:val="restart"/>
            <w:shd w:val="clear" w:color="auto" w:fill="C6D9F1"/>
            <w:vAlign w:val="center"/>
          </w:tcPr>
          <w:p w14:paraId="142FE522"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RML Conventional</w:t>
            </w:r>
          </w:p>
        </w:tc>
        <w:tc>
          <w:tcPr>
            <w:tcW w:w="1260" w:type="dxa"/>
            <w:shd w:val="clear" w:color="auto" w:fill="C2D69B"/>
            <w:vAlign w:val="center"/>
          </w:tcPr>
          <w:p w14:paraId="0C760F7D"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283CE27D"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42C9921A"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shd w:val="clear" w:color="auto" w:fill="FFFFFF"/>
            <w:vAlign w:val="center"/>
          </w:tcPr>
          <w:p w14:paraId="49F6CE3B"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Not Applicable</w:t>
            </w:r>
          </w:p>
        </w:tc>
        <w:tc>
          <w:tcPr>
            <w:tcW w:w="1530" w:type="dxa"/>
            <w:shd w:val="clear" w:color="auto" w:fill="C2D69B"/>
            <w:vAlign w:val="center"/>
          </w:tcPr>
          <w:p w14:paraId="1C527EA9"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334F1C" w:rsidRPr="00392020" w14:paraId="4181172F" w14:textId="77777777" w:rsidTr="00334F1C">
        <w:trPr>
          <w:trHeight w:hRule="exact" w:val="356"/>
        </w:trPr>
        <w:tc>
          <w:tcPr>
            <w:tcW w:w="1287" w:type="dxa"/>
            <w:vMerge/>
            <w:shd w:val="clear" w:color="auto" w:fill="C6D9F1"/>
            <w:vAlign w:val="center"/>
          </w:tcPr>
          <w:p w14:paraId="4217DF69" w14:textId="77777777" w:rsidR="00A23E44" w:rsidRPr="00392020" w:rsidRDefault="00A23E44"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28E288A7" w14:textId="77777777" w:rsidR="00A23E44" w:rsidRPr="00392020" w:rsidRDefault="00A23E44" w:rsidP="00392020">
            <w:pPr>
              <w:spacing w:line="276" w:lineRule="auto"/>
              <w:jc w:val="center"/>
              <w:rPr>
                <w:rFonts w:asciiTheme="minorHAnsi" w:hAnsiTheme="minorHAnsi"/>
                <w:b/>
                <w:sz w:val="18"/>
                <w:szCs w:val="18"/>
              </w:rPr>
            </w:pPr>
          </w:p>
        </w:tc>
        <w:tc>
          <w:tcPr>
            <w:tcW w:w="1260" w:type="dxa"/>
            <w:shd w:val="clear" w:color="auto" w:fill="FFFF66"/>
            <w:vAlign w:val="center"/>
          </w:tcPr>
          <w:p w14:paraId="15A1296A"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62BE8A91"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FFFF66"/>
            <w:vAlign w:val="center"/>
          </w:tcPr>
          <w:p w14:paraId="42D6CC52" w14:textId="77777777" w:rsidR="00A23E44" w:rsidRPr="00392020" w:rsidRDefault="00A23E44" w:rsidP="00392020">
            <w:pPr>
              <w:spacing w:line="276" w:lineRule="auto"/>
              <w:jc w:val="center"/>
              <w:rPr>
                <w:rFonts w:asciiTheme="minorHAnsi" w:hAnsiTheme="minorHAnsi"/>
                <w:sz w:val="18"/>
                <w:szCs w:val="18"/>
              </w:rPr>
            </w:pPr>
          </w:p>
        </w:tc>
        <w:tc>
          <w:tcPr>
            <w:tcW w:w="1980" w:type="dxa"/>
            <w:gridSpan w:val="2"/>
            <w:shd w:val="clear" w:color="auto" w:fill="FFFFFF"/>
            <w:vAlign w:val="center"/>
          </w:tcPr>
          <w:p w14:paraId="456931FE"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FFFF66"/>
            <w:vAlign w:val="center"/>
          </w:tcPr>
          <w:p w14:paraId="6FAFACB2" w14:textId="77777777" w:rsidR="00A23E44" w:rsidRPr="00392020" w:rsidRDefault="00A23E44" w:rsidP="00392020">
            <w:pPr>
              <w:spacing w:line="276" w:lineRule="auto"/>
              <w:jc w:val="center"/>
              <w:rPr>
                <w:rFonts w:asciiTheme="minorHAnsi" w:hAnsiTheme="minorHAnsi"/>
                <w:sz w:val="18"/>
                <w:szCs w:val="18"/>
              </w:rPr>
            </w:pPr>
          </w:p>
        </w:tc>
      </w:tr>
      <w:tr w:rsidR="00B439C5" w:rsidRPr="00392020" w14:paraId="6F6FE619" w14:textId="77777777" w:rsidTr="00334F1C">
        <w:trPr>
          <w:trHeight w:hRule="exact" w:val="356"/>
        </w:trPr>
        <w:tc>
          <w:tcPr>
            <w:tcW w:w="1287" w:type="dxa"/>
            <w:vMerge/>
            <w:shd w:val="clear" w:color="auto" w:fill="C6D9F1"/>
            <w:vAlign w:val="center"/>
          </w:tcPr>
          <w:p w14:paraId="10633CEB" w14:textId="77777777" w:rsidR="00B720DB" w:rsidRPr="00392020" w:rsidRDefault="00B720DB"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4A24CADA" w14:textId="77777777" w:rsidR="00B720DB" w:rsidRPr="00392020" w:rsidRDefault="00B720DB" w:rsidP="00392020">
            <w:pPr>
              <w:spacing w:line="276" w:lineRule="auto"/>
              <w:jc w:val="center"/>
              <w:rPr>
                <w:rFonts w:asciiTheme="minorHAnsi" w:hAnsiTheme="minorHAnsi"/>
                <w:b/>
                <w:sz w:val="18"/>
                <w:szCs w:val="18"/>
              </w:rPr>
            </w:pPr>
          </w:p>
        </w:tc>
        <w:tc>
          <w:tcPr>
            <w:tcW w:w="1260" w:type="dxa"/>
            <w:shd w:val="clear" w:color="auto" w:fill="E5B8B7"/>
            <w:vAlign w:val="center"/>
          </w:tcPr>
          <w:p w14:paraId="0086F1FA" w14:textId="77777777" w:rsidR="00B720DB" w:rsidRPr="00392020" w:rsidRDefault="00B720DB"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53FDC30F"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4930FBFA"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val="restart"/>
            <w:shd w:val="clear" w:color="auto" w:fill="FFFFFF"/>
            <w:vAlign w:val="center"/>
          </w:tcPr>
          <w:p w14:paraId="773F8FD7" w14:textId="77777777" w:rsidR="00B720DB" w:rsidRPr="00392020" w:rsidRDefault="00B720DB" w:rsidP="00392020">
            <w:pPr>
              <w:spacing w:line="276" w:lineRule="auto"/>
              <w:jc w:val="center"/>
              <w:rPr>
                <w:rFonts w:asciiTheme="minorHAnsi" w:hAnsiTheme="minorHAnsi"/>
                <w:sz w:val="18"/>
                <w:szCs w:val="18"/>
              </w:rPr>
            </w:pPr>
          </w:p>
        </w:tc>
        <w:tc>
          <w:tcPr>
            <w:tcW w:w="1530" w:type="dxa"/>
            <w:shd w:val="clear" w:color="auto" w:fill="E5B8B7"/>
            <w:vAlign w:val="center"/>
          </w:tcPr>
          <w:p w14:paraId="5C7E2C21"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616A7788" w14:textId="77777777" w:rsidTr="00334F1C">
        <w:trPr>
          <w:trHeight w:hRule="exact" w:val="356"/>
        </w:trPr>
        <w:tc>
          <w:tcPr>
            <w:tcW w:w="1287" w:type="dxa"/>
            <w:vMerge/>
            <w:shd w:val="clear" w:color="auto" w:fill="C6D9F1"/>
            <w:vAlign w:val="center"/>
          </w:tcPr>
          <w:p w14:paraId="32DB2D71" w14:textId="77777777" w:rsidR="00A23E44" w:rsidRPr="00392020" w:rsidRDefault="00A23E44" w:rsidP="00392020">
            <w:pPr>
              <w:spacing w:line="276" w:lineRule="auto"/>
              <w:jc w:val="center"/>
              <w:rPr>
                <w:rFonts w:asciiTheme="minorHAnsi" w:hAnsiTheme="minorHAnsi"/>
                <w:sz w:val="18"/>
                <w:szCs w:val="18"/>
              </w:rPr>
            </w:pPr>
          </w:p>
        </w:tc>
        <w:tc>
          <w:tcPr>
            <w:tcW w:w="1620" w:type="dxa"/>
            <w:vMerge w:val="restart"/>
            <w:shd w:val="clear" w:color="auto" w:fill="C6D9F1"/>
            <w:vAlign w:val="center"/>
          </w:tcPr>
          <w:p w14:paraId="1D6B124F"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RML Insured</w:t>
            </w:r>
          </w:p>
        </w:tc>
        <w:tc>
          <w:tcPr>
            <w:tcW w:w="1260" w:type="dxa"/>
            <w:shd w:val="clear" w:color="auto" w:fill="C2D69B"/>
            <w:vAlign w:val="center"/>
          </w:tcPr>
          <w:p w14:paraId="2FAA1467"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2ADD73A2"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0CA9DAE2"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6B3EB916"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C2D69B"/>
            <w:vAlign w:val="center"/>
          </w:tcPr>
          <w:p w14:paraId="604F688B"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7618F10E" w14:textId="77777777" w:rsidTr="00334F1C">
        <w:trPr>
          <w:trHeight w:hRule="exact" w:val="356"/>
        </w:trPr>
        <w:tc>
          <w:tcPr>
            <w:tcW w:w="1287" w:type="dxa"/>
            <w:vMerge/>
            <w:shd w:val="clear" w:color="auto" w:fill="C6D9F1"/>
            <w:vAlign w:val="center"/>
          </w:tcPr>
          <w:p w14:paraId="4C7890D8" w14:textId="77777777" w:rsidR="00635796" w:rsidRPr="00392020" w:rsidRDefault="00635796"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485992A6" w14:textId="77777777" w:rsidR="00635796" w:rsidRPr="00392020" w:rsidRDefault="00635796" w:rsidP="00392020">
            <w:pPr>
              <w:spacing w:line="276" w:lineRule="auto"/>
              <w:jc w:val="center"/>
              <w:rPr>
                <w:rFonts w:asciiTheme="minorHAnsi" w:hAnsiTheme="minorHAnsi"/>
                <w:b/>
                <w:sz w:val="18"/>
                <w:szCs w:val="18"/>
              </w:rPr>
            </w:pPr>
          </w:p>
        </w:tc>
        <w:tc>
          <w:tcPr>
            <w:tcW w:w="1260" w:type="dxa"/>
            <w:shd w:val="clear" w:color="auto" w:fill="FFFF66"/>
            <w:vAlign w:val="center"/>
          </w:tcPr>
          <w:p w14:paraId="2F5BBE87" w14:textId="77777777" w:rsidR="00635796" w:rsidRPr="00392020" w:rsidRDefault="00635796"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6DA8FACF"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06AAD921"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980" w:type="dxa"/>
            <w:gridSpan w:val="2"/>
            <w:vMerge/>
            <w:shd w:val="clear" w:color="auto" w:fill="FFFFFF"/>
            <w:vAlign w:val="center"/>
          </w:tcPr>
          <w:p w14:paraId="63587943" w14:textId="77777777" w:rsidR="00635796" w:rsidRPr="00392020" w:rsidRDefault="00635796" w:rsidP="00392020">
            <w:pPr>
              <w:spacing w:line="276" w:lineRule="auto"/>
              <w:jc w:val="center"/>
              <w:rPr>
                <w:rFonts w:asciiTheme="minorHAnsi" w:hAnsiTheme="minorHAnsi"/>
                <w:sz w:val="18"/>
                <w:szCs w:val="18"/>
              </w:rPr>
            </w:pPr>
          </w:p>
        </w:tc>
        <w:tc>
          <w:tcPr>
            <w:tcW w:w="1530" w:type="dxa"/>
            <w:shd w:val="clear" w:color="auto" w:fill="FFFF66"/>
            <w:vAlign w:val="center"/>
          </w:tcPr>
          <w:p w14:paraId="5430FAF8"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r>
      <w:tr w:rsidR="00334F1C" w:rsidRPr="00392020" w14:paraId="6C9EEA8B" w14:textId="77777777" w:rsidTr="00334F1C">
        <w:trPr>
          <w:trHeight w:hRule="exact" w:val="413"/>
        </w:trPr>
        <w:tc>
          <w:tcPr>
            <w:tcW w:w="1287" w:type="dxa"/>
            <w:vMerge/>
            <w:shd w:val="clear" w:color="auto" w:fill="C6D9F1"/>
            <w:vAlign w:val="center"/>
          </w:tcPr>
          <w:p w14:paraId="35E494AE" w14:textId="77777777" w:rsidR="00B720DB" w:rsidRPr="00392020" w:rsidRDefault="00B720DB"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1D28B4F3" w14:textId="77777777" w:rsidR="00B720DB" w:rsidRPr="00392020" w:rsidRDefault="00B720DB" w:rsidP="00392020">
            <w:pPr>
              <w:spacing w:line="276" w:lineRule="auto"/>
              <w:jc w:val="center"/>
              <w:rPr>
                <w:rFonts w:asciiTheme="minorHAnsi" w:hAnsiTheme="minorHAnsi"/>
                <w:b/>
                <w:sz w:val="18"/>
                <w:szCs w:val="18"/>
              </w:rPr>
            </w:pPr>
          </w:p>
        </w:tc>
        <w:tc>
          <w:tcPr>
            <w:tcW w:w="1260" w:type="dxa"/>
            <w:shd w:val="clear" w:color="auto" w:fill="E5B8B7"/>
            <w:vAlign w:val="center"/>
          </w:tcPr>
          <w:p w14:paraId="3DB28AAC" w14:textId="77777777" w:rsidR="00B720DB" w:rsidRPr="00392020" w:rsidRDefault="00B720DB"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057EAB66"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67822365"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0694D481" w14:textId="77777777" w:rsidR="00B720DB" w:rsidRPr="00392020" w:rsidRDefault="00B720DB" w:rsidP="00392020">
            <w:pPr>
              <w:spacing w:line="276" w:lineRule="auto"/>
              <w:jc w:val="center"/>
              <w:rPr>
                <w:rFonts w:asciiTheme="minorHAnsi" w:hAnsiTheme="minorHAnsi"/>
                <w:sz w:val="18"/>
                <w:szCs w:val="18"/>
              </w:rPr>
            </w:pPr>
          </w:p>
        </w:tc>
        <w:tc>
          <w:tcPr>
            <w:tcW w:w="1530" w:type="dxa"/>
            <w:shd w:val="clear" w:color="auto" w:fill="E5B8B7"/>
            <w:vAlign w:val="center"/>
          </w:tcPr>
          <w:p w14:paraId="16A9012D"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670C0051" w14:textId="77777777" w:rsidTr="00CF29FB">
        <w:trPr>
          <w:trHeight w:hRule="exact" w:val="356"/>
        </w:trPr>
        <w:tc>
          <w:tcPr>
            <w:tcW w:w="1287" w:type="dxa"/>
            <w:vMerge/>
            <w:shd w:val="clear" w:color="auto" w:fill="C6D9F1"/>
            <w:vAlign w:val="center"/>
          </w:tcPr>
          <w:p w14:paraId="2798D67A" w14:textId="77777777" w:rsidR="00A23E44" w:rsidRPr="00392020" w:rsidRDefault="00A23E44" w:rsidP="00392020">
            <w:pPr>
              <w:spacing w:line="276" w:lineRule="auto"/>
              <w:jc w:val="center"/>
              <w:rPr>
                <w:rFonts w:asciiTheme="minorHAnsi" w:hAnsiTheme="minorHAnsi"/>
                <w:sz w:val="18"/>
                <w:szCs w:val="18"/>
              </w:rPr>
            </w:pPr>
          </w:p>
        </w:tc>
        <w:tc>
          <w:tcPr>
            <w:tcW w:w="1620" w:type="dxa"/>
            <w:vMerge w:val="restart"/>
            <w:shd w:val="clear" w:color="auto" w:fill="C6D9F1"/>
            <w:vAlign w:val="center"/>
          </w:tcPr>
          <w:p w14:paraId="2D68C317"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RML Total</w:t>
            </w:r>
          </w:p>
        </w:tc>
        <w:tc>
          <w:tcPr>
            <w:tcW w:w="1260" w:type="dxa"/>
            <w:shd w:val="clear" w:color="auto" w:fill="C2D69B"/>
            <w:vAlign w:val="center"/>
          </w:tcPr>
          <w:p w14:paraId="271108BF"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5389547D"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567B15BA"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4AFD6400"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C2D69B"/>
            <w:vAlign w:val="center"/>
          </w:tcPr>
          <w:p w14:paraId="75F22F42"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44140FFB" w14:textId="77777777" w:rsidTr="00CF29FB">
        <w:trPr>
          <w:trHeight w:hRule="exact" w:val="356"/>
        </w:trPr>
        <w:tc>
          <w:tcPr>
            <w:tcW w:w="1287" w:type="dxa"/>
            <w:vMerge/>
            <w:shd w:val="clear" w:color="auto" w:fill="C6D9F1"/>
            <w:vAlign w:val="center"/>
          </w:tcPr>
          <w:p w14:paraId="527521AE" w14:textId="77777777" w:rsidR="00635796" w:rsidRPr="00392020" w:rsidRDefault="00635796"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7299EC85" w14:textId="77777777" w:rsidR="00635796" w:rsidRPr="00392020" w:rsidRDefault="00635796" w:rsidP="00392020">
            <w:pPr>
              <w:spacing w:line="276" w:lineRule="auto"/>
              <w:jc w:val="center"/>
              <w:rPr>
                <w:rFonts w:asciiTheme="minorHAnsi" w:hAnsiTheme="minorHAnsi"/>
                <w:b/>
                <w:sz w:val="18"/>
                <w:szCs w:val="18"/>
              </w:rPr>
            </w:pPr>
          </w:p>
        </w:tc>
        <w:tc>
          <w:tcPr>
            <w:tcW w:w="1260" w:type="dxa"/>
            <w:shd w:val="clear" w:color="auto" w:fill="FFFF66"/>
            <w:vAlign w:val="center"/>
          </w:tcPr>
          <w:p w14:paraId="1613A221" w14:textId="77777777" w:rsidR="00635796" w:rsidRPr="00392020" w:rsidRDefault="00635796"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0A3F908D"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43992C6B"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980" w:type="dxa"/>
            <w:gridSpan w:val="2"/>
            <w:vMerge/>
            <w:shd w:val="clear" w:color="auto" w:fill="FFFFFF"/>
            <w:vAlign w:val="center"/>
          </w:tcPr>
          <w:p w14:paraId="6649CB60" w14:textId="77777777" w:rsidR="00635796" w:rsidRPr="00392020" w:rsidRDefault="00635796" w:rsidP="00392020">
            <w:pPr>
              <w:spacing w:line="276" w:lineRule="auto"/>
              <w:jc w:val="center"/>
              <w:rPr>
                <w:rFonts w:asciiTheme="minorHAnsi" w:hAnsiTheme="minorHAnsi"/>
                <w:sz w:val="18"/>
                <w:szCs w:val="18"/>
              </w:rPr>
            </w:pPr>
          </w:p>
        </w:tc>
        <w:tc>
          <w:tcPr>
            <w:tcW w:w="1530" w:type="dxa"/>
            <w:shd w:val="clear" w:color="auto" w:fill="FFFF66"/>
            <w:vAlign w:val="center"/>
          </w:tcPr>
          <w:p w14:paraId="380C1F28"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r>
      <w:tr w:rsidR="00B439C5" w:rsidRPr="00392020" w14:paraId="46F3021B" w14:textId="77777777" w:rsidTr="00CF29FB">
        <w:trPr>
          <w:trHeight w:hRule="exact" w:val="356"/>
        </w:trPr>
        <w:tc>
          <w:tcPr>
            <w:tcW w:w="1287" w:type="dxa"/>
            <w:vMerge/>
            <w:shd w:val="clear" w:color="auto" w:fill="C6D9F1"/>
            <w:vAlign w:val="center"/>
          </w:tcPr>
          <w:p w14:paraId="50B5F0D7" w14:textId="77777777" w:rsidR="00B720DB" w:rsidRPr="00392020" w:rsidRDefault="00B720DB"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6EE54E15" w14:textId="77777777" w:rsidR="00B720DB" w:rsidRPr="00392020" w:rsidRDefault="00B720DB" w:rsidP="00392020">
            <w:pPr>
              <w:spacing w:line="276" w:lineRule="auto"/>
              <w:jc w:val="center"/>
              <w:rPr>
                <w:rFonts w:asciiTheme="minorHAnsi" w:hAnsiTheme="minorHAnsi"/>
                <w:b/>
                <w:sz w:val="18"/>
                <w:szCs w:val="18"/>
              </w:rPr>
            </w:pPr>
          </w:p>
        </w:tc>
        <w:tc>
          <w:tcPr>
            <w:tcW w:w="1260" w:type="dxa"/>
            <w:shd w:val="clear" w:color="auto" w:fill="E5B8B7"/>
            <w:vAlign w:val="center"/>
          </w:tcPr>
          <w:p w14:paraId="6DF15DA2" w14:textId="77777777" w:rsidR="00B720DB" w:rsidRPr="00392020" w:rsidRDefault="00B720DB"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5FA2002B"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64ED563F"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0012ACEC" w14:textId="77777777" w:rsidR="00B720DB" w:rsidRPr="00392020" w:rsidRDefault="00B720DB" w:rsidP="00392020">
            <w:pPr>
              <w:spacing w:line="276" w:lineRule="auto"/>
              <w:jc w:val="center"/>
              <w:rPr>
                <w:rFonts w:asciiTheme="minorHAnsi" w:hAnsiTheme="minorHAnsi"/>
                <w:sz w:val="18"/>
                <w:szCs w:val="18"/>
              </w:rPr>
            </w:pPr>
          </w:p>
        </w:tc>
        <w:tc>
          <w:tcPr>
            <w:tcW w:w="1530" w:type="dxa"/>
            <w:shd w:val="clear" w:color="auto" w:fill="E5B8B7"/>
            <w:vAlign w:val="center"/>
          </w:tcPr>
          <w:p w14:paraId="67807AC7"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737BCB18" w14:textId="77777777" w:rsidTr="00CF29FB">
        <w:trPr>
          <w:trHeight w:hRule="exact" w:val="356"/>
        </w:trPr>
        <w:tc>
          <w:tcPr>
            <w:tcW w:w="1287" w:type="dxa"/>
            <w:vMerge/>
            <w:shd w:val="clear" w:color="auto" w:fill="C6D9F1"/>
            <w:vAlign w:val="center"/>
          </w:tcPr>
          <w:p w14:paraId="73A496CE" w14:textId="77777777" w:rsidR="00A23E44" w:rsidRPr="00392020" w:rsidRDefault="00A23E44" w:rsidP="00392020">
            <w:pPr>
              <w:spacing w:line="276" w:lineRule="auto"/>
              <w:jc w:val="center"/>
              <w:rPr>
                <w:rFonts w:asciiTheme="minorHAnsi" w:hAnsiTheme="minorHAnsi"/>
                <w:sz w:val="18"/>
                <w:szCs w:val="18"/>
              </w:rPr>
            </w:pPr>
          </w:p>
        </w:tc>
        <w:tc>
          <w:tcPr>
            <w:tcW w:w="1620" w:type="dxa"/>
            <w:vMerge w:val="restart"/>
            <w:shd w:val="clear" w:color="auto" w:fill="C6D9F1"/>
            <w:vAlign w:val="center"/>
          </w:tcPr>
          <w:p w14:paraId="0C3A443E"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HELOC</w:t>
            </w:r>
          </w:p>
        </w:tc>
        <w:tc>
          <w:tcPr>
            <w:tcW w:w="1260" w:type="dxa"/>
            <w:shd w:val="clear" w:color="auto" w:fill="C2D69B"/>
            <w:vAlign w:val="center"/>
          </w:tcPr>
          <w:p w14:paraId="3258A51D"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0DC311EB"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0F9329AF"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1BB2D2BA"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C2D69B"/>
            <w:vAlign w:val="center"/>
          </w:tcPr>
          <w:p w14:paraId="364AED3B"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274C14DC" w14:textId="77777777" w:rsidTr="00CF29FB">
        <w:trPr>
          <w:trHeight w:hRule="exact" w:val="356"/>
        </w:trPr>
        <w:tc>
          <w:tcPr>
            <w:tcW w:w="1287" w:type="dxa"/>
            <w:vMerge/>
            <w:shd w:val="clear" w:color="auto" w:fill="C6D9F1"/>
            <w:vAlign w:val="center"/>
          </w:tcPr>
          <w:p w14:paraId="6F2B4FAD" w14:textId="77777777" w:rsidR="00635796" w:rsidRPr="00392020" w:rsidRDefault="00635796"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6B9C98B4" w14:textId="77777777" w:rsidR="00635796" w:rsidRPr="00392020" w:rsidRDefault="00635796" w:rsidP="00392020">
            <w:pPr>
              <w:spacing w:line="276" w:lineRule="auto"/>
              <w:jc w:val="center"/>
              <w:rPr>
                <w:rFonts w:asciiTheme="minorHAnsi" w:hAnsiTheme="minorHAnsi"/>
                <w:b/>
                <w:sz w:val="18"/>
                <w:szCs w:val="18"/>
              </w:rPr>
            </w:pPr>
          </w:p>
        </w:tc>
        <w:tc>
          <w:tcPr>
            <w:tcW w:w="1260" w:type="dxa"/>
            <w:shd w:val="clear" w:color="auto" w:fill="FFFF66"/>
            <w:vAlign w:val="center"/>
          </w:tcPr>
          <w:p w14:paraId="719B3124" w14:textId="77777777" w:rsidR="00635796" w:rsidRPr="00392020" w:rsidRDefault="00635796"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69B926BD"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7F1019D1"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980" w:type="dxa"/>
            <w:gridSpan w:val="2"/>
            <w:vMerge/>
            <w:shd w:val="clear" w:color="auto" w:fill="FFFFFF"/>
            <w:vAlign w:val="center"/>
          </w:tcPr>
          <w:p w14:paraId="27BB5C1E" w14:textId="77777777" w:rsidR="00635796" w:rsidRPr="00392020" w:rsidRDefault="00635796" w:rsidP="00392020">
            <w:pPr>
              <w:spacing w:line="276" w:lineRule="auto"/>
              <w:jc w:val="center"/>
              <w:rPr>
                <w:rFonts w:asciiTheme="minorHAnsi" w:hAnsiTheme="minorHAnsi"/>
                <w:sz w:val="18"/>
                <w:szCs w:val="18"/>
              </w:rPr>
            </w:pPr>
          </w:p>
        </w:tc>
        <w:tc>
          <w:tcPr>
            <w:tcW w:w="1530" w:type="dxa"/>
            <w:shd w:val="clear" w:color="auto" w:fill="FFFF66"/>
            <w:vAlign w:val="center"/>
          </w:tcPr>
          <w:p w14:paraId="59C9A1AB"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r>
      <w:tr w:rsidR="00B439C5" w:rsidRPr="00392020" w14:paraId="5B80CE78" w14:textId="77777777" w:rsidTr="00CF29FB">
        <w:trPr>
          <w:trHeight w:hRule="exact" w:val="356"/>
        </w:trPr>
        <w:tc>
          <w:tcPr>
            <w:tcW w:w="1287" w:type="dxa"/>
            <w:vMerge/>
            <w:shd w:val="clear" w:color="auto" w:fill="C6D9F1"/>
            <w:vAlign w:val="center"/>
          </w:tcPr>
          <w:p w14:paraId="2CC8F971" w14:textId="77777777" w:rsidR="00B720DB" w:rsidRPr="00392020" w:rsidRDefault="00B720DB"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35161C66" w14:textId="77777777" w:rsidR="00B720DB" w:rsidRPr="00392020" w:rsidRDefault="00B720DB" w:rsidP="00392020">
            <w:pPr>
              <w:spacing w:line="276" w:lineRule="auto"/>
              <w:jc w:val="center"/>
              <w:rPr>
                <w:rFonts w:asciiTheme="minorHAnsi" w:hAnsiTheme="minorHAnsi"/>
                <w:b/>
                <w:sz w:val="18"/>
                <w:szCs w:val="18"/>
              </w:rPr>
            </w:pPr>
          </w:p>
        </w:tc>
        <w:tc>
          <w:tcPr>
            <w:tcW w:w="1260" w:type="dxa"/>
            <w:shd w:val="clear" w:color="auto" w:fill="E5B8B7"/>
            <w:vAlign w:val="center"/>
          </w:tcPr>
          <w:p w14:paraId="2C4C3F4F" w14:textId="77777777" w:rsidR="00B720DB" w:rsidRPr="00392020" w:rsidRDefault="00B720DB"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042593C4"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30A2866B"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660B83E5" w14:textId="77777777" w:rsidR="00B720DB" w:rsidRPr="00392020" w:rsidRDefault="00B720DB" w:rsidP="00392020">
            <w:pPr>
              <w:spacing w:line="276" w:lineRule="auto"/>
              <w:jc w:val="center"/>
              <w:rPr>
                <w:rFonts w:asciiTheme="minorHAnsi" w:hAnsiTheme="minorHAnsi"/>
                <w:sz w:val="18"/>
                <w:szCs w:val="18"/>
              </w:rPr>
            </w:pPr>
          </w:p>
        </w:tc>
        <w:tc>
          <w:tcPr>
            <w:tcW w:w="1530" w:type="dxa"/>
            <w:shd w:val="clear" w:color="auto" w:fill="E5B8B7"/>
            <w:vAlign w:val="center"/>
          </w:tcPr>
          <w:p w14:paraId="62CFDDE7"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0881F383" w14:textId="77777777" w:rsidTr="00CF29FB">
        <w:trPr>
          <w:trHeight w:hRule="exact" w:val="356"/>
        </w:trPr>
        <w:tc>
          <w:tcPr>
            <w:tcW w:w="1287" w:type="dxa"/>
            <w:vMerge/>
            <w:shd w:val="clear" w:color="auto" w:fill="C6D9F1"/>
            <w:vAlign w:val="center"/>
          </w:tcPr>
          <w:p w14:paraId="777DAC7B" w14:textId="77777777" w:rsidR="006D623C" w:rsidRPr="00392020" w:rsidRDefault="006D623C" w:rsidP="00392020">
            <w:pPr>
              <w:spacing w:line="276" w:lineRule="auto"/>
              <w:jc w:val="center"/>
              <w:rPr>
                <w:rFonts w:asciiTheme="minorHAnsi" w:hAnsiTheme="minorHAnsi"/>
                <w:sz w:val="18"/>
                <w:szCs w:val="18"/>
              </w:rPr>
            </w:pPr>
          </w:p>
        </w:tc>
        <w:tc>
          <w:tcPr>
            <w:tcW w:w="1620" w:type="dxa"/>
            <w:vMerge w:val="restart"/>
            <w:shd w:val="clear" w:color="auto" w:fill="C6D9F1"/>
            <w:vAlign w:val="center"/>
          </w:tcPr>
          <w:p w14:paraId="2B4ED130" w14:textId="77777777" w:rsidR="006D623C" w:rsidRPr="00392020" w:rsidRDefault="006D623C" w:rsidP="00392020">
            <w:pPr>
              <w:spacing w:line="276" w:lineRule="auto"/>
              <w:jc w:val="center"/>
              <w:rPr>
                <w:rFonts w:asciiTheme="minorHAnsi" w:hAnsiTheme="minorHAnsi"/>
                <w:b/>
                <w:sz w:val="18"/>
                <w:szCs w:val="18"/>
              </w:rPr>
            </w:pPr>
            <w:proofErr w:type="gramStart"/>
            <w:r w:rsidRPr="00392020">
              <w:rPr>
                <w:rFonts w:asciiTheme="minorHAnsi" w:hAnsiTheme="minorHAnsi"/>
                <w:b/>
                <w:sz w:val="18"/>
                <w:szCs w:val="18"/>
              </w:rPr>
              <w:t>Other</w:t>
            </w:r>
            <w:proofErr w:type="gramEnd"/>
            <w:r w:rsidRPr="00392020">
              <w:rPr>
                <w:rFonts w:asciiTheme="minorHAnsi" w:hAnsiTheme="minorHAnsi"/>
                <w:b/>
                <w:sz w:val="18"/>
                <w:szCs w:val="18"/>
              </w:rPr>
              <w:t xml:space="preserve"> Consumer</w:t>
            </w:r>
          </w:p>
        </w:tc>
        <w:tc>
          <w:tcPr>
            <w:tcW w:w="1260" w:type="dxa"/>
            <w:shd w:val="clear" w:color="auto" w:fill="C2D69B"/>
            <w:vAlign w:val="center"/>
          </w:tcPr>
          <w:p w14:paraId="09BBE480" w14:textId="77777777" w:rsidR="006D623C" w:rsidRPr="00392020" w:rsidRDefault="006D623C"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0839AF9C"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2812B47D"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70A2D774" w14:textId="77777777" w:rsidR="006D623C" w:rsidRPr="00392020" w:rsidRDefault="006D623C" w:rsidP="00392020">
            <w:pPr>
              <w:spacing w:line="276" w:lineRule="auto"/>
              <w:jc w:val="center"/>
              <w:rPr>
                <w:rFonts w:asciiTheme="minorHAnsi" w:hAnsiTheme="minorHAnsi"/>
                <w:sz w:val="18"/>
                <w:szCs w:val="18"/>
              </w:rPr>
            </w:pPr>
          </w:p>
        </w:tc>
        <w:tc>
          <w:tcPr>
            <w:tcW w:w="1530" w:type="dxa"/>
            <w:shd w:val="clear" w:color="auto" w:fill="C2D69B"/>
            <w:vAlign w:val="center"/>
          </w:tcPr>
          <w:p w14:paraId="32307840"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5160A105" w14:textId="77777777" w:rsidTr="00CF29FB">
        <w:trPr>
          <w:trHeight w:hRule="exact" w:val="356"/>
        </w:trPr>
        <w:tc>
          <w:tcPr>
            <w:tcW w:w="1287" w:type="dxa"/>
            <w:vMerge/>
            <w:shd w:val="clear" w:color="auto" w:fill="C6D9F1"/>
            <w:vAlign w:val="center"/>
          </w:tcPr>
          <w:p w14:paraId="7C67AE45" w14:textId="77777777" w:rsidR="00635796" w:rsidRPr="00392020" w:rsidRDefault="00635796"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30958A6C" w14:textId="77777777" w:rsidR="00635796" w:rsidRPr="00392020" w:rsidRDefault="00635796" w:rsidP="00392020">
            <w:pPr>
              <w:spacing w:line="276" w:lineRule="auto"/>
              <w:jc w:val="center"/>
              <w:rPr>
                <w:rFonts w:asciiTheme="minorHAnsi" w:hAnsiTheme="minorHAnsi"/>
                <w:b/>
                <w:sz w:val="18"/>
                <w:szCs w:val="18"/>
              </w:rPr>
            </w:pPr>
          </w:p>
        </w:tc>
        <w:tc>
          <w:tcPr>
            <w:tcW w:w="1260" w:type="dxa"/>
            <w:shd w:val="clear" w:color="auto" w:fill="FFFF66"/>
            <w:vAlign w:val="center"/>
          </w:tcPr>
          <w:p w14:paraId="73EC26BA" w14:textId="77777777" w:rsidR="00635796" w:rsidRPr="00392020" w:rsidRDefault="00635796"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45969113"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3C486822"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980" w:type="dxa"/>
            <w:gridSpan w:val="2"/>
            <w:vMerge/>
            <w:shd w:val="clear" w:color="auto" w:fill="FFFFFF"/>
            <w:vAlign w:val="center"/>
          </w:tcPr>
          <w:p w14:paraId="40CFBF36" w14:textId="77777777" w:rsidR="00635796" w:rsidRPr="00392020" w:rsidRDefault="00635796" w:rsidP="00392020">
            <w:pPr>
              <w:spacing w:line="276" w:lineRule="auto"/>
              <w:jc w:val="center"/>
              <w:rPr>
                <w:rFonts w:asciiTheme="minorHAnsi" w:hAnsiTheme="minorHAnsi"/>
                <w:sz w:val="18"/>
                <w:szCs w:val="18"/>
              </w:rPr>
            </w:pPr>
          </w:p>
        </w:tc>
        <w:tc>
          <w:tcPr>
            <w:tcW w:w="1530" w:type="dxa"/>
            <w:shd w:val="clear" w:color="auto" w:fill="FFFF66"/>
            <w:vAlign w:val="center"/>
          </w:tcPr>
          <w:p w14:paraId="7CE752CE" w14:textId="77777777" w:rsidR="00635796" w:rsidRPr="00392020" w:rsidRDefault="00635796" w:rsidP="00392020">
            <w:pPr>
              <w:spacing w:line="276" w:lineRule="auto"/>
              <w:jc w:val="center"/>
              <w:rPr>
                <w:rFonts w:asciiTheme="minorHAnsi" w:hAnsiTheme="minorHAnsi"/>
                <w:sz w:val="18"/>
                <w:szCs w:val="18"/>
              </w:rPr>
            </w:pPr>
          </w:p>
        </w:tc>
      </w:tr>
      <w:tr w:rsidR="00B439C5" w:rsidRPr="00392020" w14:paraId="68FDBDA0" w14:textId="77777777" w:rsidTr="00CF29FB">
        <w:trPr>
          <w:trHeight w:hRule="exact" w:val="356"/>
        </w:trPr>
        <w:tc>
          <w:tcPr>
            <w:tcW w:w="1287" w:type="dxa"/>
            <w:vMerge/>
            <w:shd w:val="clear" w:color="auto" w:fill="C6D9F1"/>
            <w:vAlign w:val="center"/>
          </w:tcPr>
          <w:p w14:paraId="030E2426" w14:textId="77777777" w:rsidR="006D623C" w:rsidRPr="00392020" w:rsidRDefault="006D623C" w:rsidP="00392020">
            <w:pPr>
              <w:spacing w:line="276" w:lineRule="auto"/>
              <w:jc w:val="center"/>
              <w:rPr>
                <w:rFonts w:asciiTheme="minorHAnsi" w:hAnsiTheme="minorHAnsi"/>
                <w:sz w:val="18"/>
                <w:szCs w:val="18"/>
              </w:rPr>
            </w:pPr>
          </w:p>
        </w:tc>
        <w:tc>
          <w:tcPr>
            <w:tcW w:w="1620" w:type="dxa"/>
            <w:vMerge/>
            <w:shd w:val="clear" w:color="auto" w:fill="C6D9F1"/>
            <w:vAlign w:val="center"/>
          </w:tcPr>
          <w:p w14:paraId="508D656C" w14:textId="77777777" w:rsidR="006D623C" w:rsidRPr="00392020" w:rsidRDefault="006D623C" w:rsidP="00392020">
            <w:pPr>
              <w:spacing w:line="276" w:lineRule="auto"/>
              <w:jc w:val="center"/>
              <w:rPr>
                <w:rFonts w:asciiTheme="minorHAnsi" w:hAnsiTheme="minorHAnsi"/>
                <w:b/>
                <w:sz w:val="18"/>
                <w:szCs w:val="18"/>
              </w:rPr>
            </w:pPr>
          </w:p>
        </w:tc>
        <w:tc>
          <w:tcPr>
            <w:tcW w:w="1260" w:type="dxa"/>
            <w:shd w:val="clear" w:color="auto" w:fill="E5B8B7"/>
            <w:vAlign w:val="center"/>
          </w:tcPr>
          <w:p w14:paraId="5B78D31A" w14:textId="77777777" w:rsidR="006D623C" w:rsidRPr="00392020" w:rsidRDefault="006D623C"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45476862"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5F7C4C92"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3E925621" w14:textId="77777777" w:rsidR="006D623C" w:rsidRPr="00392020" w:rsidRDefault="006D623C" w:rsidP="00392020">
            <w:pPr>
              <w:spacing w:line="276" w:lineRule="auto"/>
              <w:jc w:val="center"/>
              <w:rPr>
                <w:rFonts w:asciiTheme="minorHAnsi" w:hAnsiTheme="minorHAnsi"/>
                <w:sz w:val="18"/>
                <w:szCs w:val="18"/>
              </w:rPr>
            </w:pPr>
          </w:p>
        </w:tc>
        <w:tc>
          <w:tcPr>
            <w:tcW w:w="1530" w:type="dxa"/>
            <w:shd w:val="clear" w:color="auto" w:fill="E5B8B7"/>
            <w:vAlign w:val="center"/>
          </w:tcPr>
          <w:p w14:paraId="0EFF08B5"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334F1C" w:rsidRPr="00392020" w14:paraId="2F7057B3" w14:textId="77777777" w:rsidTr="00086E41">
        <w:trPr>
          <w:trHeight w:hRule="exact" w:val="460"/>
        </w:trPr>
        <w:tc>
          <w:tcPr>
            <w:tcW w:w="1287" w:type="dxa"/>
            <w:vMerge w:val="restart"/>
            <w:shd w:val="clear" w:color="auto" w:fill="C6D9F1"/>
            <w:vAlign w:val="center"/>
          </w:tcPr>
          <w:p w14:paraId="696093F7" w14:textId="77777777" w:rsidR="00AA0B3C" w:rsidRPr="00392020" w:rsidRDefault="00AA0B3C" w:rsidP="00392020">
            <w:pPr>
              <w:spacing w:line="276" w:lineRule="auto"/>
              <w:jc w:val="center"/>
              <w:rPr>
                <w:rFonts w:asciiTheme="minorHAnsi" w:hAnsiTheme="minorHAnsi"/>
                <w:b/>
                <w:sz w:val="18"/>
                <w:szCs w:val="18"/>
              </w:rPr>
            </w:pPr>
            <w:proofErr w:type="gramStart"/>
            <w:r w:rsidRPr="00392020">
              <w:rPr>
                <w:rFonts w:asciiTheme="minorHAnsi" w:hAnsiTheme="minorHAnsi"/>
                <w:b/>
                <w:sz w:val="18"/>
                <w:szCs w:val="18"/>
              </w:rPr>
              <w:t>Non Consumer</w:t>
            </w:r>
            <w:proofErr w:type="gramEnd"/>
          </w:p>
        </w:tc>
        <w:tc>
          <w:tcPr>
            <w:tcW w:w="1620" w:type="dxa"/>
            <w:vMerge w:val="restart"/>
            <w:shd w:val="clear" w:color="auto" w:fill="C6D9F1"/>
            <w:vAlign w:val="center"/>
          </w:tcPr>
          <w:p w14:paraId="391959B3" w14:textId="77777777" w:rsidR="00AA0B3C"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Small Business</w:t>
            </w:r>
          </w:p>
        </w:tc>
        <w:tc>
          <w:tcPr>
            <w:tcW w:w="1260" w:type="dxa"/>
            <w:shd w:val="clear" w:color="auto" w:fill="C6D9F1"/>
            <w:vAlign w:val="center"/>
          </w:tcPr>
          <w:p w14:paraId="1C93023E" w14:textId="77777777" w:rsidR="00AA0B3C"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Condition</w:t>
            </w:r>
          </w:p>
        </w:tc>
        <w:tc>
          <w:tcPr>
            <w:tcW w:w="1620" w:type="dxa"/>
            <w:shd w:val="clear" w:color="auto" w:fill="C6D9F1"/>
            <w:vAlign w:val="center"/>
          </w:tcPr>
          <w:p w14:paraId="4EC9D2AC" w14:textId="77777777" w:rsidR="00AA0B3C"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Delinquency</w:t>
            </w:r>
          </w:p>
        </w:tc>
        <w:tc>
          <w:tcPr>
            <w:tcW w:w="1530" w:type="dxa"/>
            <w:shd w:val="clear" w:color="auto" w:fill="C6D9F1"/>
            <w:vAlign w:val="center"/>
          </w:tcPr>
          <w:p w14:paraId="2FA3FBA2" w14:textId="77777777" w:rsidR="00AA0B3C"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Defaults</w:t>
            </w:r>
          </w:p>
        </w:tc>
        <w:tc>
          <w:tcPr>
            <w:tcW w:w="990" w:type="dxa"/>
            <w:shd w:val="clear" w:color="auto" w:fill="C6D9F1"/>
            <w:vAlign w:val="center"/>
          </w:tcPr>
          <w:p w14:paraId="40F945F3" w14:textId="77777777" w:rsidR="00AA0B3C"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Watch List</w:t>
            </w:r>
          </w:p>
        </w:tc>
        <w:tc>
          <w:tcPr>
            <w:tcW w:w="990" w:type="dxa"/>
            <w:shd w:val="clear" w:color="auto" w:fill="C6D9F1"/>
            <w:vAlign w:val="center"/>
          </w:tcPr>
          <w:p w14:paraId="35FD5BC9" w14:textId="77777777" w:rsidR="00AA0B3C"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Expired</w:t>
            </w:r>
          </w:p>
        </w:tc>
        <w:tc>
          <w:tcPr>
            <w:tcW w:w="1530" w:type="dxa"/>
            <w:shd w:val="clear" w:color="auto" w:fill="C6D9F1"/>
            <w:vAlign w:val="center"/>
          </w:tcPr>
          <w:p w14:paraId="53B7060F" w14:textId="77777777" w:rsidR="00AA0B3C" w:rsidRPr="00392020" w:rsidRDefault="00AA0B3C" w:rsidP="00392020">
            <w:pPr>
              <w:spacing w:line="276" w:lineRule="auto"/>
              <w:jc w:val="center"/>
              <w:rPr>
                <w:rFonts w:asciiTheme="minorHAnsi" w:hAnsiTheme="minorHAnsi"/>
                <w:b/>
                <w:sz w:val="18"/>
                <w:szCs w:val="18"/>
              </w:rPr>
            </w:pPr>
            <w:r w:rsidRPr="00392020">
              <w:rPr>
                <w:rFonts w:asciiTheme="minorHAnsi" w:hAnsiTheme="minorHAnsi"/>
                <w:b/>
                <w:sz w:val="18"/>
                <w:szCs w:val="18"/>
              </w:rPr>
              <w:t>Write-Offs</w:t>
            </w:r>
          </w:p>
        </w:tc>
      </w:tr>
      <w:tr w:rsidR="00334F1C" w:rsidRPr="00392020" w14:paraId="796142D4" w14:textId="77777777" w:rsidTr="00CF29FB">
        <w:trPr>
          <w:trHeight w:hRule="exact" w:val="356"/>
        </w:trPr>
        <w:tc>
          <w:tcPr>
            <w:tcW w:w="1287" w:type="dxa"/>
            <w:vMerge/>
            <w:shd w:val="clear" w:color="auto" w:fill="C6D9F1"/>
            <w:vAlign w:val="center"/>
          </w:tcPr>
          <w:p w14:paraId="03E1373C" w14:textId="77777777" w:rsidR="00A23E44" w:rsidRPr="00392020" w:rsidRDefault="00A23E44" w:rsidP="00392020">
            <w:pPr>
              <w:spacing w:line="276" w:lineRule="auto"/>
              <w:jc w:val="center"/>
              <w:rPr>
                <w:rFonts w:asciiTheme="minorHAnsi" w:hAnsiTheme="minorHAnsi"/>
                <w:b/>
                <w:sz w:val="20"/>
                <w:szCs w:val="20"/>
              </w:rPr>
            </w:pPr>
          </w:p>
        </w:tc>
        <w:tc>
          <w:tcPr>
            <w:tcW w:w="1620" w:type="dxa"/>
            <w:vMerge/>
            <w:shd w:val="clear" w:color="auto" w:fill="C6D9F1"/>
            <w:vAlign w:val="center"/>
          </w:tcPr>
          <w:p w14:paraId="7210BE07" w14:textId="77777777" w:rsidR="00A23E44" w:rsidRPr="00392020" w:rsidRDefault="00A23E44" w:rsidP="00392020">
            <w:pPr>
              <w:spacing w:line="276" w:lineRule="auto"/>
              <w:jc w:val="center"/>
              <w:rPr>
                <w:rFonts w:asciiTheme="minorHAnsi" w:hAnsiTheme="minorHAnsi"/>
                <w:b/>
                <w:sz w:val="18"/>
                <w:szCs w:val="18"/>
              </w:rPr>
            </w:pPr>
          </w:p>
        </w:tc>
        <w:tc>
          <w:tcPr>
            <w:tcW w:w="1260" w:type="dxa"/>
            <w:shd w:val="clear" w:color="auto" w:fill="C2D69B"/>
            <w:vAlign w:val="center"/>
          </w:tcPr>
          <w:p w14:paraId="07570C75"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31858600"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6A7268E4"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C2D69B"/>
            <w:vAlign w:val="center"/>
          </w:tcPr>
          <w:p w14:paraId="422EEA30"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C2D69B"/>
            <w:vAlign w:val="center"/>
          </w:tcPr>
          <w:p w14:paraId="1CDB1AD7"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1CA1770F"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334F1C" w:rsidRPr="00392020" w14:paraId="3560FEF6" w14:textId="77777777" w:rsidTr="00CF29FB">
        <w:trPr>
          <w:trHeight w:hRule="exact" w:val="356"/>
        </w:trPr>
        <w:tc>
          <w:tcPr>
            <w:tcW w:w="1287" w:type="dxa"/>
            <w:vMerge/>
            <w:shd w:val="clear" w:color="auto" w:fill="C6D9F1"/>
            <w:vAlign w:val="center"/>
          </w:tcPr>
          <w:p w14:paraId="234DAAB1" w14:textId="77777777" w:rsidR="00635796" w:rsidRPr="00392020" w:rsidRDefault="00635796" w:rsidP="00392020">
            <w:pPr>
              <w:spacing w:line="276" w:lineRule="auto"/>
              <w:jc w:val="center"/>
              <w:rPr>
                <w:rFonts w:asciiTheme="minorHAnsi" w:hAnsiTheme="minorHAnsi"/>
                <w:sz w:val="20"/>
                <w:szCs w:val="20"/>
              </w:rPr>
            </w:pPr>
          </w:p>
        </w:tc>
        <w:tc>
          <w:tcPr>
            <w:tcW w:w="1620" w:type="dxa"/>
            <w:vMerge/>
            <w:shd w:val="clear" w:color="auto" w:fill="C6D9F1"/>
            <w:vAlign w:val="center"/>
          </w:tcPr>
          <w:p w14:paraId="7599FC86" w14:textId="77777777" w:rsidR="00635796" w:rsidRPr="00392020" w:rsidRDefault="00635796" w:rsidP="00392020">
            <w:pPr>
              <w:spacing w:line="276" w:lineRule="auto"/>
              <w:jc w:val="center"/>
              <w:rPr>
                <w:rFonts w:asciiTheme="minorHAnsi" w:hAnsiTheme="minorHAnsi"/>
                <w:b/>
                <w:sz w:val="18"/>
                <w:szCs w:val="18"/>
              </w:rPr>
            </w:pPr>
          </w:p>
        </w:tc>
        <w:tc>
          <w:tcPr>
            <w:tcW w:w="1260" w:type="dxa"/>
            <w:shd w:val="clear" w:color="auto" w:fill="FFFF66"/>
            <w:vAlign w:val="center"/>
          </w:tcPr>
          <w:p w14:paraId="2F7991AC" w14:textId="77777777" w:rsidR="00635796" w:rsidRPr="00392020" w:rsidRDefault="00635796"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65D64A06"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68E2C083"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990" w:type="dxa"/>
            <w:shd w:val="clear" w:color="auto" w:fill="FFFF66"/>
            <w:vAlign w:val="center"/>
          </w:tcPr>
          <w:p w14:paraId="5E0056DA"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990" w:type="dxa"/>
            <w:shd w:val="clear" w:color="auto" w:fill="FFFF66"/>
            <w:vAlign w:val="center"/>
          </w:tcPr>
          <w:p w14:paraId="4E10CD4D"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75A0D039"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r>
      <w:tr w:rsidR="00334F1C" w:rsidRPr="00392020" w14:paraId="0FBEAEB7" w14:textId="77777777" w:rsidTr="00CF29FB">
        <w:trPr>
          <w:trHeight w:hRule="exact" w:val="356"/>
        </w:trPr>
        <w:tc>
          <w:tcPr>
            <w:tcW w:w="1287" w:type="dxa"/>
            <w:vMerge/>
            <w:shd w:val="clear" w:color="auto" w:fill="C6D9F1"/>
            <w:vAlign w:val="center"/>
          </w:tcPr>
          <w:p w14:paraId="6521FEB4" w14:textId="77777777" w:rsidR="00B720DB" w:rsidRPr="00392020" w:rsidRDefault="00B720DB" w:rsidP="00392020">
            <w:pPr>
              <w:spacing w:line="276" w:lineRule="auto"/>
              <w:jc w:val="center"/>
              <w:rPr>
                <w:rFonts w:asciiTheme="minorHAnsi" w:hAnsiTheme="minorHAnsi"/>
                <w:sz w:val="20"/>
                <w:szCs w:val="20"/>
              </w:rPr>
            </w:pPr>
          </w:p>
        </w:tc>
        <w:tc>
          <w:tcPr>
            <w:tcW w:w="1620" w:type="dxa"/>
            <w:vMerge/>
            <w:shd w:val="clear" w:color="auto" w:fill="C6D9F1"/>
            <w:vAlign w:val="center"/>
          </w:tcPr>
          <w:p w14:paraId="64352956" w14:textId="77777777" w:rsidR="00B720DB" w:rsidRPr="00392020" w:rsidRDefault="00B720DB" w:rsidP="00392020">
            <w:pPr>
              <w:spacing w:line="276" w:lineRule="auto"/>
              <w:jc w:val="center"/>
              <w:rPr>
                <w:rFonts w:asciiTheme="minorHAnsi" w:hAnsiTheme="minorHAnsi"/>
                <w:b/>
                <w:sz w:val="18"/>
                <w:szCs w:val="18"/>
              </w:rPr>
            </w:pPr>
          </w:p>
        </w:tc>
        <w:tc>
          <w:tcPr>
            <w:tcW w:w="1260" w:type="dxa"/>
            <w:shd w:val="clear" w:color="auto" w:fill="E5B8B7"/>
            <w:vAlign w:val="center"/>
          </w:tcPr>
          <w:p w14:paraId="667FC24C" w14:textId="77777777" w:rsidR="00B720DB" w:rsidRPr="00392020" w:rsidRDefault="00B720DB"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4E4DD9B1"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1BA52D5A"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E5B8B7"/>
            <w:vAlign w:val="center"/>
          </w:tcPr>
          <w:p w14:paraId="2AC98534"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E5B8B7"/>
            <w:vAlign w:val="center"/>
          </w:tcPr>
          <w:p w14:paraId="1007D584"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1796D038"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334F1C" w:rsidRPr="00392020" w14:paraId="50FF4952" w14:textId="77777777" w:rsidTr="00CF29FB">
        <w:trPr>
          <w:trHeight w:hRule="exact" w:val="356"/>
        </w:trPr>
        <w:tc>
          <w:tcPr>
            <w:tcW w:w="1287" w:type="dxa"/>
            <w:vMerge/>
            <w:shd w:val="clear" w:color="auto" w:fill="C6D9F1"/>
            <w:vAlign w:val="center"/>
          </w:tcPr>
          <w:p w14:paraId="21416911" w14:textId="77777777" w:rsidR="006D623C" w:rsidRPr="00392020" w:rsidRDefault="006D623C" w:rsidP="00392020">
            <w:pPr>
              <w:spacing w:line="276" w:lineRule="auto"/>
              <w:jc w:val="center"/>
              <w:rPr>
                <w:rFonts w:asciiTheme="minorHAnsi" w:hAnsiTheme="minorHAnsi"/>
                <w:sz w:val="20"/>
                <w:szCs w:val="20"/>
              </w:rPr>
            </w:pPr>
          </w:p>
        </w:tc>
        <w:tc>
          <w:tcPr>
            <w:tcW w:w="1620" w:type="dxa"/>
            <w:vMerge w:val="restart"/>
            <w:shd w:val="clear" w:color="auto" w:fill="C6D9F1"/>
            <w:vAlign w:val="center"/>
          </w:tcPr>
          <w:p w14:paraId="656868B2" w14:textId="77777777" w:rsidR="006D623C" w:rsidRPr="00392020" w:rsidRDefault="006D623C" w:rsidP="00392020">
            <w:pPr>
              <w:spacing w:line="276" w:lineRule="auto"/>
              <w:jc w:val="center"/>
              <w:rPr>
                <w:rFonts w:asciiTheme="minorHAnsi" w:hAnsiTheme="minorHAnsi"/>
                <w:b/>
                <w:sz w:val="18"/>
                <w:szCs w:val="18"/>
              </w:rPr>
            </w:pPr>
            <w:r w:rsidRPr="00392020">
              <w:rPr>
                <w:rFonts w:asciiTheme="minorHAnsi" w:hAnsiTheme="minorHAnsi"/>
                <w:b/>
                <w:sz w:val="18"/>
                <w:szCs w:val="18"/>
              </w:rPr>
              <w:t>Commercial</w:t>
            </w:r>
          </w:p>
        </w:tc>
        <w:tc>
          <w:tcPr>
            <w:tcW w:w="1260" w:type="dxa"/>
            <w:shd w:val="clear" w:color="auto" w:fill="C2D69B"/>
            <w:vAlign w:val="center"/>
          </w:tcPr>
          <w:p w14:paraId="7185655A" w14:textId="77777777" w:rsidR="006D623C" w:rsidRPr="00392020" w:rsidRDefault="006D623C"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258E3518"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5B9795E3"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C2D69B"/>
            <w:vAlign w:val="center"/>
          </w:tcPr>
          <w:p w14:paraId="615DF9D5"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C2D69B"/>
            <w:vAlign w:val="center"/>
          </w:tcPr>
          <w:p w14:paraId="6D464E72"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3D3C6519"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334F1C" w:rsidRPr="00392020" w14:paraId="5503E943" w14:textId="77777777" w:rsidTr="00CF29FB">
        <w:trPr>
          <w:trHeight w:hRule="exact" w:val="356"/>
        </w:trPr>
        <w:tc>
          <w:tcPr>
            <w:tcW w:w="1287" w:type="dxa"/>
            <w:vMerge/>
            <w:shd w:val="clear" w:color="auto" w:fill="C6D9F1"/>
            <w:vAlign w:val="center"/>
          </w:tcPr>
          <w:p w14:paraId="6CACB570" w14:textId="77777777" w:rsidR="00635796" w:rsidRPr="00392020" w:rsidRDefault="00635796" w:rsidP="00392020">
            <w:pPr>
              <w:spacing w:line="276" w:lineRule="auto"/>
              <w:jc w:val="center"/>
              <w:rPr>
                <w:rFonts w:asciiTheme="minorHAnsi" w:hAnsiTheme="minorHAnsi"/>
                <w:sz w:val="20"/>
                <w:szCs w:val="20"/>
              </w:rPr>
            </w:pPr>
          </w:p>
        </w:tc>
        <w:tc>
          <w:tcPr>
            <w:tcW w:w="1620" w:type="dxa"/>
            <w:vMerge/>
            <w:shd w:val="clear" w:color="auto" w:fill="C6D9F1"/>
            <w:vAlign w:val="center"/>
          </w:tcPr>
          <w:p w14:paraId="38B9840C" w14:textId="77777777" w:rsidR="00635796" w:rsidRPr="00392020" w:rsidRDefault="00635796" w:rsidP="00392020">
            <w:pPr>
              <w:spacing w:line="276" w:lineRule="auto"/>
              <w:jc w:val="center"/>
              <w:rPr>
                <w:rFonts w:asciiTheme="minorHAnsi" w:hAnsiTheme="minorHAnsi"/>
                <w:b/>
                <w:sz w:val="18"/>
                <w:szCs w:val="18"/>
              </w:rPr>
            </w:pPr>
          </w:p>
        </w:tc>
        <w:tc>
          <w:tcPr>
            <w:tcW w:w="1260" w:type="dxa"/>
            <w:shd w:val="clear" w:color="auto" w:fill="FFFF66"/>
            <w:vAlign w:val="center"/>
          </w:tcPr>
          <w:p w14:paraId="400B8BAA" w14:textId="77777777" w:rsidR="00635796" w:rsidRPr="00392020" w:rsidRDefault="00635796"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15F9C14B"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29790721"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990" w:type="dxa"/>
            <w:shd w:val="clear" w:color="auto" w:fill="FFFF66"/>
            <w:vAlign w:val="center"/>
          </w:tcPr>
          <w:p w14:paraId="23134F43"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990" w:type="dxa"/>
            <w:shd w:val="clear" w:color="auto" w:fill="FFFF66"/>
            <w:vAlign w:val="center"/>
          </w:tcPr>
          <w:p w14:paraId="36D481C0"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11827660" w14:textId="77777777" w:rsidR="00635796"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r>
      <w:tr w:rsidR="00334F1C" w:rsidRPr="00392020" w14:paraId="23067EAB" w14:textId="77777777" w:rsidTr="00CF29FB">
        <w:trPr>
          <w:trHeight w:hRule="exact" w:val="356"/>
        </w:trPr>
        <w:tc>
          <w:tcPr>
            <w:tcW w:w="1287" w:type="dxa"/>
            <w:vMerge/>
            <w:shd w:val="clear" w:color="auto" w:fill="C6D9F1"/>
            <w:vAlign w:val="center"/>
          </w:tcPr>
          <w:p w14:paraId="12188583" w14:textId="77777777" w:rsidR="006D623C" w:rsidRPr="00392020" w:rsidRDefault="006D623C" w:rsidP="00392020">
            <w:pPr>
              <w:spacing w:line="276" w:lineRule="auto"/>
              <w:jc w:val="center"/>
              <w:rPr>
                <w:rFonts w:asciiTheme="minorHAnsi" w:hAnsiTheme="minorHAnsi"/>
                <w:sz w:val="20"/>
                <w:szCs w:val="20"/>
              </w:rPr>
            </w:pPr>
          </w:p>
        </w:tc>
        <w:tc>
          <w:tcPr>
            <w:tcW w:w="1620" w:type="dxa"/>
            <w:vMerge/>
            <w:shd w:val="clear" w:color="auto" w:fill="C6D9F1"/>
            <w:vAlign w:val="center"/>
          </w:tcPr>
          <w:p w14:paraId="51C6A1B8" w14:textId="77777777" w:rsidR="006D623C" w:rsidRPr="00392020" w:rsidRDefault="006D623C" w:rsidP="00392020">
            <w:pPr>
              <w:spacing w:line="276" w:lineRule="auto"/>
              <w:jc w:val="center"/>
              <w:rPr>
                <w:rFonts w:asciiTheme="minorHAnsi" w:hAnsiTheme="minorHAnsi"/>
                <w:b/>
                <w:sz w:val="18"/>
                <w:szCs w:val="18"/>
              </w:rPr>
            </w:pPr>
          </w:p>
        </w:tc>
        <w:tc>
          <w:tcPr>
            <w:tcW w:w="1260" w:type="dxa"/>
            <w:shd w:val="clear" w:color="auto" w:fill="E5B8B7"/>
            <w:vAlign w:val="center"/>
          </w:tcPr>
          <w:p w14:paraId="4C36F359" w14:textId="77777777" w:rsidR="006D623C" w:rsidRPr="00392020" w:rsidRDefault="006D623C"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73227F8F"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0D84962D"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E5B8B7"/>
            <w:vAlign w:val="center"/>
          </w:tcPr>
          <w:p w14:paraId="3281EE53"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990" w:type="dxa"/>
            <w:shd w:val="clear" w:color="auto" w:fill="E5B8B7"/>
            <w:vAlign w:val="center"/>
          </w:tcPr>
          <w:p w14:paraId="3DA0C5E9"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5BD55ABA" w14:textId="77777777" w:rsidR="006D623C" w:rsidRPr="00392020" w:rsidRDefault="006D623C"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18254D76" w14:textId="77777777" w:rsidTr="00CF29FB">
        <w:trPr>
          <w:trHeight w:hRule="exact" w:val="356"/>
        </w:trPr>
        <w:tc>
          <w:tcPr>
            <w:tcW w:w="2907" w:type="dxa"/>
            <w:gridSpan w:val="2"/>
            <w:vMerge w:val="restart"/>
            <w:shd w:val="clear" w:color="auto" w:fill="C6D9F1"/>
            <w:vAlign w:val="center"/>
          </w:tcPr>
          <w:p w14:paraId="4B362B94" w14:textId="77777777" w:rsidR="00A23E44" w:rsidRPr="00392020" w:rsidRDefault="00D530F0" w:rsidP="00392020">
            <w:pPr>
              <w:spacing w:line="276" w:lineRule="auto"/>
              <w:jc w:val="center"/>
              <w:rPr>
                <w:rFonts w:asciiTheme="minorHAnsi" w:hAnsiTheme="minorHAnsi"/>
                <w:b/>
                <w:sz w:val="18"/>
                <w:szCs w:val="18"/>
              </w:rPr>
            </w:pPr>
            <w:r w:rsidRPr="00392020">
              <w:rPr>
                <w:rFonts w:asciiTheme="minorHAnsi" w:hAnsiTheme="minorHAnsi"/>
                <w:b/>
                <w:sz w:val="18"/>
                <w:szCs w:val="18"/>
              </w:rPr>
              <w:t xml:space="preserve">Credit </w:t>
            </w:r>
            <w:r w:rsidR="00A23E44" w:rsidRPr="00392020">
              <w:rPr>
                <w:rFonts w:asciiTheme="minorHAnsi" w:hAnsiTheme="minorHAnsi"/>
                <w:b/>
                <w:sz w:val="18"/>
                <w:szCs w:val="18"/>
              </w:rPr>
              <w:t>Card</w:t>
            </w:r>
          </w:p>
        </w:tc>
        <w:tc>
          <w:tcPr>
            <w:tcW w:w="1260" w:type="dxa"/>
            <w:shd w:val="clear" w:color="auto" w:fill="C2D69B"/>
            <w:vAlign w:val="center"/>
          </w:tcPr>
          <w:p w14:paraId="7832B536"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4C5EE0C3"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C2D69B"/>
            <w:vAlign w:val="center"/>
          </w:tcPr>
          <w:p w14:paraId="6EE17453"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val="restart"/>
            <w:shd w:val="clear" w:color="auto" w:fill="FFFFFF"/>
            <w:vAlign w:val="center"/>
          </w:tcPr>
          <w:p w14:paraId="5A388C09"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Not Applicable</w:t>
            </w:r>
          </w:p>
        </w:tc>
        <w:tc>
          <w:tcPr>
            <w:tcW w:w="1530" w:type="dxa"/>
            <w:shd w:val="clear" w:color="auto" w:fill="C2D69B"/>
            <w:vAlign w:val="center"/>
          </w:tcPr>
          <w:p w14:paraId="46612716"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2042DE96" w14:textId="77777777" w:rsidTr="00CF29FB">
        <w:trPr>
          <w:trHeight w:hRule="exact" w:val="356"/>
        </w:trPr>
        <w:tc>
          <w:tcPr>
            <w:tcW w:w="2907" w:type="dxa"/>
            <w:gridSpan w:val="2"/>
            <w:vMerge/>
            <w:shd w:val="clear" w:color="auto" w:fill="C6D9F1"/>
            <w:vAlign w:val="center"/>
          </w:tcPr>
          <w:p w14:paraId="6A1972DE" w14:textId="77777777" w:rsidR="00A23E44" w:rsidRPr="00392020" w:rsidRDefault="00A23E44" w:rsidP="00392020">
            <w:pPr>
              <w:spacing w:line="276" w:lineRule="auto"/>
              <w:jc w:val="center"/>
              <w:rPr>
                <w:rFonts w:asciiTheme="minorHAnsi" w:hAnsiTheme="minorHAnsi"/>
                <w:b/>
                <w:sz w:val="18"/>
                <w:szCs w:val="18"/>
              </w:rPr>
            </w:pPr>
          </w:p>
        </w:tc>
        <w:tc>
          <w:tcPr>
            <w:tcW w:w="1260" w:type="dxa"/>
            <w:shd w:val="clear" w:color="auto" w:fill="FFFF66"/>
            <w:vAlign w:val="center"/>
          </w:tcPr>
          <w:p w14:paraId="6D58A808"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7D331EA2" w14:textId="77777777" w:rsidR="00A23E44"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530" w:type="dxa"/>
            <w:shd w:val="clear" w:color="auto" w:fill="FFFF66"/>
            <w:vAlign w:val="center"/>
          </w:tcPr>
          <w:p w14:paraId="2D2B2410" w14:textId="77777777" w:rsidR="00A23E44"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c>
          <w:tcPr>
            <w:tcW w:w="1980" w:type="dxa"/>
            <w:gridSpan w:val="2"/>
            <w:vMerge/>
            <w:shd w:val="clear" w:color="auto" w:fill="FFFFFF"/>
            <w:vAlign w:val="center"/>
          </w:tcPr>
          <w:p w14:paraId="6B135359"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FFFF66"/>
            <w:vAlign w:val="center"/>
          </w:tcPr>
          <w:p w14:paraId="5F717FDB" w14:textId="77777777" w:rsidR="00A23E44" w:rsidRPr="00392020" w:rsidRDefault="00635796" w:rsidP="00392020">
            <w:pPr>
              <w:spacing w:line="276" w:lineRule="auto"/>
              <w:jc w:val="center"/>
              <w:rPr>
                <w:rFonts w:asciiTheme="minorHAnsi" w:hAnsiTheme="minorHAnsi"/>
                <w:sz w:val="18"/>
                <w:szCs w:val="18"/>
              </w:rPr>
            </w:pPr>
            <w:r w:rsidRPr="00392020">
              <w:rPr>
                <w:rFonts w:asciiTheme="minorHAnsi" w:hAnsiTheme="minorHAnsi"/>
                <w:sz w:val="18"/>
                <w:szCs w:val="18"/>
              </w:rPr>
              <w:t>to</w:t>
            </w:r>
          </w:p>
        </w:tc>
      </w:tr>
      <w:tr w:rsidR="00B439C5" w:rsidRPr="00392020" w14:paraId="7B5C3CE7" w14:textId="77777777" w:rsidTr="00CF29FB">
        <w:trPr>
          <w:trHeight w:hRule="exact" w:val="356"/>
        </w:trPr>
        <w:tc>
          <w:tcPr>
            <w:tcW w:w="2907" w:type="dxa"/>
            <w:gridSpan w:val="2"/>
            <w:vMerge/>
            <w:shd w:val="clear" w:color="auto" w:fill="C6D9F1"/>
            <w:vAlign w:val="center"/>
          </w:tcPr>
          <w:p w14:paraId="4061D4CB" w14:textId="77777777" w:rsidR="00B720DB" w:rsidRPr="00392020" w:rsidRDefault="00B720DB" w:rsidP="00392020">
            <w:pPr>
              <w:spacing w:line="276" w:lineRule="auto"/>
              <w:jc w:val="center"/>
              <w:rPr>
                <w:rFonts w:asciiTheme="minorHAnsi" w:hAnsiTheme="minorHAnsi"/>
                <w:b/>
                <w:sz w:val="18"/>
                <w:szCs w:val="18"/>
              </w:rPr>
            </w:pPr>
          </w:p>
        </w:tc>
        <w:tc>
          <w:tcPr>
            <w:tcW w:w="1260" w:type="dxa"/>
            <w:shd w:val="clear" w:color="auto" w:fill="E5B8B7"/>
            <w:vAlign w:val="center"/>
          </w:tcPr>
          <w:p w14:paraId="042D4159" w14:textId="77777777" w:rsidR="00B720DB" w:rsidRPr="00392020" w:rsidRDefault="00B720DB"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57309F64"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530" w:type="dxa"/>
            <w:shd w:val="clear" w:color="auto" w:fill="E5B8B7"/>
            <w:vAlign w:val="center"/>
          </w:tcPr>
          <w:p w14:paraId="7F5F91AC"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c>
          <w:tcPr>
            <w:tcW w:w="1980" w:type="dxa"/>
            <w:gridSpan w:val="2"/>
            <w:vMerge/>
            <w:shd w:val="clear" w:color="auto" w:fill="FFFFFF"/>
            <w:vAlign w:val="center"/>
          </w:tcPr>
          <w:p w14:paraId="1064653B" w14:textId="77777777" w:rsidR="00B720DB" w:rsidRPr="00392020" w:rsidRDefault="00B720DB" w:rsidP="00392020">
            <w:pPr>
              <w:spacing w:line="276" w:lineRule="auto"/>
              <w:jc w:val="center"/>
              <w:rPr>
                <w:rFonts w:asciiTheme="minorHAnsi" w:hAnsiTheme="minorHAnsi"/>
                <w:sz w:val="18"/>
                <w:szCs w:val="18"/>
              </w:rPr>
            </w:pPr>
          </w:p>
        </w:tc>
        <w:tc>
          <w:tcPr>
            <w:tcW w:w="1530" w:type="dxa"/>
            <w:shd w:val="clear" w:color="auto" w:fill="E5B8B7"/>
            <w:vAlign w:val="center"/>
          </w:tcPr>
          <w:p w14:paraId="768C31B7" w14:textId="77777777" w:rsidR="00B720DB"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w:t>
            </w:r>
          </w:p>
        </w:tc>
      </w:tr>
      <w:tr w:rsidR="00B439C5" w:rsidRPr="00392020" w14:paraId="1549026F" w14:textId="77777777" w:rsidTr="00CF29FB">
        <w:trPr>
          <w:trHeight w:hRule="exact" w:val="356"/>
        </w:trPr>
        <w:tc>
          <w:tcPr>
            <w:tcW w:w="2907" w:type="dxa"/>
            <w:gridSpan w:val="2"/>
            <w:vMerge w:val="restart"/>
            <w:shd w:val="clear" w:color="auto" w:fill="C6D9F1"/>
            <w:vAlign w:val="center"/>
          </w:tcPr>
          <w:p w14:paraId="1C995AD6" w14:textId="77777777" w:rsidR="00A23E44" w:rsidRPr="00392020" w:rsidRDefault="00A23E44" w:rsidP="00392020">
            <w:pPr>
              <w:spacing w:line="276" w:lineRule="auto"/>
              <w:jc w:val="center"/>
              <w:rPr>
                <w:rFonts w:asciiTheme="minorHAnsi" w:hAnsiTheme="minorHAnsi"/>
                <w:b/>
                <w:sz w:val="18"/>
                <w:szCs w:val="18"/>
              </w:rPr>
            </w:pPr>
            <w:r w:rsidRPr="00392020">
              <w:rPr>
                <w:rFonts w:asciiTheme="minorHAnsi" w:hAnsiTheme="minorHAnsi"/>
                <w:b/>
                <w:sz w:val="18"/>
                <w:szCs w:val="18"/>
              </w:rPr>
              <w:t>Total Loans</w:t>
            </w:r>
          </w:p>
        </w:tc>
        <w:tc>
          <w:tcPr>
            <w:tcW w:w="1260" w:type="dxa"/>
            <w:shd w:val="clear" w:color="auto" w:fill="C2D69B"/>
            <w:vAlign w:val="center"/>
          </w:tcPr>
          <w:p w14:paraId="423E9364"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Acceptable</w:t>
            </w:r>
          </w:p>
        </w:tc>
        <w:tc>
          <w:tcPr>
            <w:tcW w:w="1620" w:type="dxa"/>
            <w:shd w:val="clear" w:color="auto" w:fill="C2D69B"/>
            <w:vAlign w:val="center"/>
          </w:tcPr>
          <w:p w14:paraId="75A94063"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r w:rsidR="00B720DB" w:rsidRPr="00392020">
              <w:rPr>
                <w:rFonts w:asciiTheme="minorHAnsi" w:hAnsiTheme="minorHAnsi"/>
                <w:sz w:val="18"/>
                <w:szCs w:val="18"/>
              </w:rPr>
              <w:t>.75%</w:t>
            </w:r>
          </w:p>
        </w:tc>
        <w:tc>
          <w:tcPr>
            <w:tcW w:w="1530" w:type="dxa"/>
            <w:shd w:val="clear" w:color="auto" w:fill="C2D69B"/>
            <w:vAlign w:val="center"/>
          </w:tcPr>
          <w:p w14:paraId="791806BB"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r w:rsidR="00B720DB" w:rsidRPr="00392020">
              <w:rPr>
                <w:rFonts w:asciiTheme="minorHAnsi" w:hAnsiTheme="minorHAnsi"/>
                <w:sz w:val="18"/>
                <w:szCs w:val="18"/>
              </w:rPr>
              <w:t>.50%</w:t>
            </w:r>
          </w:p>
        </w:tc>
        <w:tc>
          <w:tcPr>
            <w:tcW w:w="1980" w:type="dxa"/>
            <w:gridSpan w:val="2"/>
            <w:vMerge/>
            <w:shd w:val="clear" w:color="auto" w:fill="FFFFFF"/>
            <w:vAlign w:val="center"/>
          </w:tcPr>
          <w:p w14:paraId="29C71C03"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C2D69B"/>
            <w:vAlign w:val="center"/>
          </w:tcPr>
          <w:p w14:paraId="568A5E1A" w14:textId="77777777" w:rsidR="00A23E44" w:rsidRPr="00392020" w:rsidRDefault="00A23E44" w:rsidP="00392020">
            <w:pPr>
              <w:spacing w:line="276" w:lineRule="auto"/>
              <w:jc w:val="center"/>
              <w:rPr>
                <w:rFonts w:asciiTheme="minorHAnsi" w:hAnsiTheme="minorHAnsi"/>
                <w:sz w:val="18"/>
                <w:szCs w:val="18"/>
              </w:rPr>
            </w:pPr>
            <w:r w:rsidRPr="00392020">
              <w:rPr>
                <w:rFonts w:asciiTheme="minorHAnsi" w:hAnsiTheme="minorHAnsi"/>
                <w:sz w:val="18"/>
                <w:szCs w:val="18"/>
              </w:rPr>
              <w:t>≤</w:t>
            </w:r>
            <w:r w:rsidR="00B720DB" w:rsidRPr="00392020">
              <w:rPr>
                <w:rFonts w:asciiTheme="minorHAnsi" w:hAnsiTheme="minorHAnsi"/>
                <w:sz w:val="18"/>
                <w:szCs w:val="18"/>
              </w:rPr>
              <w:t>.25%</w:t>
            </w:r>
          </w:p>
        </w:tc>
      </w:tr>
      <w:tr w:rsidR="00B439C5" w:rsidRPr="00392020" w14:paraId="7F4A96C1" w14:textId="77777777" w:rsidTr="00CF29FB">
        <w:trPr>
          <w:trHeight w:hRule="exact" w:val="356"/>
        </w:trPr>
        <w:tc>
          <w:tcPr>
            <w:tcW w:w="2907" w:type="dxa"/>
            <w:gridSpan w:val="2"/>
            <w:vMerge/>
            <w:shd w:val="clear" w:color="auto" w:fill="FFFF66"/>
          </w:tcPr>
          <w:p w14:paraId="2CEF20E3" w14:textId="77777777" w:rsidR="00A23E44" w:rsidRPr="00392020" w:rsidRDefault="00A23E44" w:rsidP="00392020">
            <w:pPr>
              <w:spacing w:line="276" w:lineRule="auto"/>
              <w:rPr>
                <w:rFonts w:asciiTheme="minorHAnsi" w:hAnsiTheme="minorHAnsi"/>
                <w:b/>
                <w:sz w:val="18"/>
                <w:szCs w:val="18"/>
              </w:rPr>
            </w:pPr>
          </w:p>
        </w:tc>
        <w:tc>
          <w:tcPr>
            <w:tcW w:w="1260" w:type="dxa"/>
            <w:shd w:val="clear" w:color="auto" w:fill="FFFF66"/>
            <w:vAlign w:val="center"/>
          </w:tcPr>
          <w:p w14:paraId="6CCD5FA8"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Caution</w:t>
            </w:r>
          </w:p>
        </w:tc>
        <w:tc>
          <w:tcPr>
            <w:tcW w:w="1620" w:type="dxa"/>
            <w:shd w:val="clear" w:color="auto" w:fill="FFFF66"/>
            <w:vAlign w:val="center"/>
          </w:tcPr>
          <w:p w14:paraId="1DDB9CE8" w14:textId="77777777" w:rsidR="00A23E44"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.76% to 1.24%</w:t>
            </w:r>
          </w:p>
        </w:tc>
        <w:tc>
          <w:tcPr>
            <w:tcW w:w="1530" w:type="dxa"/>
            <w:shd w:val="clear" w:color="auto" w:fill="FFFF66"/>
            <w:vAlign w:val="center"/>
          </w:tcPr>
          <w:p w14:paraId="0D1F20EA" w14:textId="77777777" w:rsidR="00A23E44"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.51% to .99%</w:t>
            </w:r>
          </w:p>
        </w:tc>
        <w:tc>
          <w:tcPr>
            <w:tcW w:w="1980" w:type="dxa"/>
            <w:gridSpan w:val="2"/>
            <w:vMerge/>
            <w:shd w:val="clear" w:color="auto" w:fill="FFFFFF"/>
            <w:vAlign w:val="center"/>
          </w:tcPr>
          <w:p w14:paraId="7E3E600F"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FFFF66"/>
            <w:vAlign w:val="center"/>
          </w:tcPr>
          <w:p w14:paraId="39F8225A" w14:textId="77777777" w:rsidR="00A23E44"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.26% to .49%</w:t>
            </w:r>
          </w:p>
        </w:tc>
      </w:tr>
      <w:tr w:rsidR="00B439C5" w:rsidRPr="00392020" w14:paraId="4767EF48" w14:textId="77777777" w:rsidTr="00CF29FB">
        <w:trPr>
          <w:trHeight w:hRule="exact" w:val="356"/>
        </w:trPr>
        <w:tc>
          <w:tcPr>
            <w:tcW w:w="2907" w:type="dxa"/>
            <w:gridSpan w:val="2"/>
            <w:vMerge/>
            <w:shd w:val="clear" w:color="auto" w:fill="C6D9F1"/>
          </w:tcPr>
          <w:p w14:paraId="6B8675ED" w14:textId="77777777" w:rsidR="00A23E44" w:rsidRPr="00392020" w:rsidRDefault="00A23E44" w:rsidP="00392020">
            <w:pPr>
              <w:spacing w:line="276" w:lineRule="auto"/>
              <w:rPr>
                <w:rFonts w:asciiTheme="minorHAnsi" w:hAnsiTheme="minorHAnsi"/>
                <w:b/>
                <w:sz w:val="18"/>
                <w:szCs w:val="18"/>
              </w:rPr>
            </w:pPr>
          </w:p>
        </w:tc>
        <w:tc>
          <w:tcPr>
            <w:tcW w:w="1260" w:type="dxa"/>
            <w:shd w:val="clear" w:color="auto" w:fill="E5B8B7"/>
            <w:vAlign w:val="center"/>
          </w:tcPr>
          <w:p w14:paraId="20670334" w14:textId="77777777" w:rsidR="00A23E44" w:rsidRPr="00392020" w:rsidRDefault="00A23E44" w:rsidP="00392020">
            <w:pPr>
              <w:spacing w:line="276" w:lineRule="auto"/>
              <w:rPr>
                <w:rFonts w:asciiTheme="minorHAnsi" w:hAnsiTheme="minorHAnsi"/>
                <w:sz w:val="18"/>
                <w:szCs w:val="18"/>
              </w:rPr>
            </w:pPr>
            <w:r w:rsidRPr="00392020">
              <w:rPr>
                <w:rFonts w:asciiTheme="minorHAnsi" w:hAnsiTheme="minorHAnsi"/>
                <w:sz w:val="18"/>
                <w:szCs w:val="18"/>
              </w:rPr>
              <w:t>Concern</w:t>
            </w:r>
          </w:p>
        </w:tc>
        <w:tc>
          <w:tcPr>
            <w:tcW w:w="1620" w:type="dxa"/>
            <w:shd w:val="clear" w:color="auto" w:fill="E5B8B7"/>
            <w:vAlign w:val="center"/>
          </w:tcPr>
          <w:p w14:paraId="2AF2B058" w14:textId="77777777" w:rsidR="00A23E44"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≥1.25%</w:t>
            </w:r>
          </w:p>
        </w:tc>
        <w:tc>
          <w:tcPr>
            <w:tcW w:w="1530" w:type="dxa"/>
            <w:shd w:val="clear" w:color="auto" w:fill="E5B8B7"/>
            <w:vAlign w:val="center"/>
          </w:tcPr>
          <w:p w14:paraId="3B63DA43" w14:textId="77777777" w:rsidR="00A23E44"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≥1.00%</w:t>
            </w:r>
          </w:p>
        </w:tc>
        <w:tc>
          <w:tcPr>
            <w:tcW w:w="1980" w:type="dxa"/>
            <w:gridSpan w:val="2"/>
            <w:vMerge/>
            <w:shd w:val="clear" w:color="auto" w:fill="FFFFFF"/>
            <w:vAlign w:val="center"/>
          </w:tcPr>
          <w:p w14:paraId="00B92252" w14:textId="77777777" w:rsidR="00A23E44" w:rsidRPr="00392020" w:rsidRDefault="00A23E44" w:rsidP="00392020">
            <w:pPr>
              <w:spacing w:line="276" w:lineRule="auto"/>
              <w:jc w:val="center"/>
              <w:rPr>
                <w:rFonts w:asciiTheme="minorHAnsi" w:hAnsiTheme="minorHAnsi"/>
                <w:sz w:val="18"/>
                <w:szCs w:val="18"/>
              </w:rPr>
            </w:pPr>
          </w:p>
        </w:tc>
        <w:tc>
          <w:tcPr>
            <w:tcW w:w="1530" w:type="dxa"/>
            <w:shd w:val="clear" w:color="auto" w:fill="E5B8B7"/>
            <w:vAlign w:val="center"/>
          </w:tcPr>
          <w:p w14:paraId="59665F6E" w14:textId="77777777" w:rsidR="00A23E44" w:rsidRPr="00392020" w:rsidRDefault="00B720DB" w:rsidP="00392020">
            <w:pPr>
              <w:spacing w:line="276" w:lineRule="auto"/>
              <w:jc w:val="center"/>
              <w:rPr>
                <w:rFonts w:asciiTheme="minorHAnsi" w:hAnsiTheme="minorHAnsi"/>
                <w:sz w:val="18"/>
                <w:szCs w:val="18"/>
              </w:rPr>
            </w:pPr>
            <w:r w:rsidRPr="00392020">
              <w:rPr>
                <w:rFonts w:asciiTheme="minorHAnsi" w:hAnsiTheme="minorHAnsi"/>
                <w:sz w:val="18"/>
                <w:szCs w:val="18"/>
              </w:rPr>
              <w:t>≥.50%</w:t>
            </w:r>
          </w:p>
        </w:tc>
      </w:tr>
      <w:tr w:rsidR="00C244A8" w:rsidRPr="00392020" w14:paraId="0F9C023F" w14:textId="77777777" w:rsidTr="00CF29FB">
        <w:trPr>
          <w:trHeight w:hRule="exact" w:val="170"/>
        </w:trPr>
        <w:tc>
          <w:tcPr>
            <w:tcW w:w="10827" w:type="dxa"/>
            <w:gridSpan w:val="8"/>
            <w:shd w:val="clear" w:color="auto" w:fill="C6D9F1"/>
          </w:tcPr>
          <w:p w14:paraId="795366CF" w14:textId="77777777" w:rsidR="00C244A8" w:rsidRPr="00392020" w:rsidRDefault="00C244A8" w:rsidP="00392020">
            <w:pPr>
              <w:spacing w:line="276" w:lineRule="auto"/>
              <w:jc w:val="center"/>
              <w:rPr>
                <w:rFonts w:asciiTheme="minorHAnsi" w:hAnsiTheme="minorHAnsi"/>
                <w:sz w:val="18"/>
                <w:szCs w:val="18"/>
              </w:rPr>
            </w:pPr>
          </w:p>
        </w:tc>
      </w:tr>
    </w:tbl>
    <w:p w14:paraId="6F0EE5DA" w14:textId="77777777" w:rsidR="00635796" w:rsidRPr="00705782" w:rsidRDefault="00635796" w:rsidP="00086E41">
      <w:pPr>
        <w:numPr>
          <w:ilvl w:val="0"/>
          <w:numId w:val="12"/>
        </w:numPr>
        <w:spacing w:line="276" w:lineRule="auto"/>
        <w:rPr>
          <w:rFonts w:asciiTheme="minorHAnsi" w:hAnsiTheme="minorHAnsi"/>
          <w:szCs w:val="22"/>
        </w:rPr>
      </w:pPr>
      <w:r w:rsidRPr="00705782">
        <w:rPr>
          <w:rFonts w:asciiTheme="minorHAnsi" w:hAnsiTheme="minorHAnsi"/>
          <w:szCs w:val="22"/>
          <w:u w:val="single"/>
        </w:rPr>
        <w:t>Delinquencies:</w:t>
      </w:r>
      <w:r w:rsidRPr="00705782">
        <w:rPr>
          <w:rFonts w:asciiTheme="minorHAnsi" w:hAnsiTheme="minorHAnsi"/>
          <w:szCs w:val="22"/>
        </w:rPr>
        <w:t xml:space="preserve">  </w:t>
      </w:r>
      <w:r w:rsidR="00D530F0" w:rsidRPr="00705782">
        <w:rPr>
          <w:rFonts w:asciiTheme="minorHAnsi" w:hAnsiTheme="minorHAnsi"/>
          <w:szCs w:val="22"/>
        </w:rPr>
        <w:t>Percentage of loans with arrears</w:t>
      </w:r>
      <w:r w:rsidRPr="00705782">
        <w:rPr>
          <w:rFonts w:asciiTheme="minorHAnsi" w:hAnsiTheme="minorHAnsi"/>
          <w:szCs w:val="22"/>
        </w:rPr>
        <w:t xml:space="preserve"> 60-days</w:t>
      </w:r>
      <w:r w:rsidR="00D530F0" w:rsidRPr="00705782">
        <w:rPr>
          <w:rFonts w:asciiTheme="minorHAnsi" w:hAnsiTheme="minorHAnsi"/>
          <w:szCs w:val="22"/>
        </w:rPr>
        <w:t xml:space="preserve"> or higher, relative to total loans. </w:t>
      </w:r>
      <w:r w:rsidRPr="00705782">
        <w:rPr>
          <w:rFonts w:asciiTheme="minorHAnsi" w:hAnsiTheme="minorHAnsi"/>
          <w:szCs w:val="22"/>
        </w:rPr>
        <w:t xml:space="preserve"> (</w:t>
      </w:r>
      <w:r w:rsidR="00D530F0" w:rsidRPr="00705782">
        <w:rPr>
          <w:rFonts w:asciiTheme="minorHAnsi" w:hAnsiTheme="minorHAnsi"/>
          <w:szCs w:val="22"/>
        </w:rPr>
        <w:t xml:space="preserve">Arrears between </w:t>
      </w:r>
      <w:r w:rsidRPr="00705782">
        <w:rPr>
          <w:rFonts w:asciiTheme="minorHAnsi" w:hAnsiTheme="minorHAnsi"/>
          <w:szCs w:val="22"/>
        </w:rPr>
        <w:t>30 days and 30 to 59 days should be monitored)</w:t>
      </w:r>
      <w:r w:rsidR="00086E41">
        <w:rPr>
          <w:rFonts w:asciiTheme="minorHAnsi" w:hAnsiTheme="minorHAnsi"/>
          <w:szCs w:val="22"/>
        </w:rPr>
        <w:t>.</w:t>
      </w:r>
    </w:p>
    <w:p w14:paraId="2994DA87" w14:textId="77777777" w:rsidR="00635796" w:rsidRPr="00705782" w:rsidRDefault="00635796" w:rsidP="00086E41">
      <w:pPr>
        <w:numPr>
          <w:ilvl w:val="0"/>
          <w:numId w:val="12"/>
        </w:numPr>
        <w:spacing w:line="276" w:lineRule="auto"/>
        <w:rPr>
          <w:rFonts w:asciiTheme="minorHAnsi" w:hAnsiTheme="minorHAnsi"/>
          <w:szCs w:val="22"/>
        </w:rPr>
      </w:pPr>
      <w:r w:rsidRPr="00705782">
        <w:rPr>
          <w:rFonts w:asciiTheme="minorHAnsi" w:hAnsiTheme="minorHAnsi"/>
          <w:szCs w:val="22"/>
          <w:u w:val="single"/>
        </w:rPr>
        <w:t>Defaults:</w:t>
      </w:r>
      <w:r w:rsidRPr="00705782">
        <w:rPr>
          <w:rFonts w:asciiTheme="minorHAnsi" w:hAnsiTheme="minorHAnsi"/>
          <w:szCs w:val="22"/>
        </w:rPr>
        <w:t xml:space="preserve"> </w:t>
      </w:r>
      <w:r w:rsidR="00D530F0" w:rsidRPr="00705782">
        <w:rPr>
          <w:rFonts w:asciiTheme="minorHAnsi" w:hAnsiTheme="minorHAnsi"/>
          <w:szCs w:val="22"/>
        </w:rPr>
        <w:t xml:space="preserve">Percentage of </w:t>
      </w:r>
      <w:r w:rsidR="00EC4DCC" w:rsidRPr="00705782">
        <w:rPr>
          <w:rFonts w:asciiTheme="minorHAnsi" w:hAnsiTheme="minorHAnsi"/>
          <w:szCs w:val="22"/>
        </w:rPr>
        <w:t xml:space="preserve">Doubtful (BRR 8) and </w:t>
      </w:r>
      <w:r w:rsidRPr="00705782">
        <w:rPr>
          <w:rFonts w:asciiTheme="minorHAnsi" w:hAnsiTheme="minorHAnsi"/>
          <w:szCs w:val="22"/>
        </w:rPr>
        <w:t>Impaired (</w:t>
      </w:r>
      <w:r w:rsidR="00F44D52" w:rsidRPr="00705782">
        <w:rPr>
          <w:rFonts w:asciiTheme="minorHAnsi" w:hAnsiTheme="minorHAnsi"/>
          <w:szCs w:val="22"/>
        </w:rPr>
        <w:t>BRR 9</w:t>
      </w:r>
      <w:r w:rsidRPr="00705782">
        <w:rPr>
          <w:rFonts w:asciiTheme="minorHAnsi" w:hAnsiTheme="minorHAnsi"/>
          <w:szCs w:val="22"/>
        </w:rPr>
        <w:t xml:space="preserve">) </w:t>
      </w:r>
      <w:r w:rsidR="00D530F0" w:rsidRPr="00705782">
        <w:rPr>
          <w:rFonts w:asciiTheme="minorHAnsi" w:hAnsiTheme="minorHAnsi"/>
          <w:szCs w:val="22"/>
        </w:rPr>
        <w:t xml:space="preserve">to total </w:t>
      </w:r>
      <w:r w:rsidRPr="00705782">
        <w:rPr>
          <w:rFonts w:asciiTheme="minorHAnsi" w:hAnsiTheme="minorHAnsi"/>
          <w:szCs w:val="22"/>
        </w:rPr>
        <w:t>loans</w:t>
      </w:r>
      <w:r w:rsidR="00086E41">
        <w:rPr>
          <w:rFonts w:asciiTheme="minorHAnsi" w:hAnsiTheme="minorHAnsi"/>
          <w:szCs w:val="22"/>
        </w:rPr>
        <w:t>.</w:t>
      </w:r>
    </w:p>
    <w:p w14:paraId="4E902A1C" w14:textId="77777777" w:rsidR="00635796" w:rsidRPr="00705782" w:rsidRDefault="00635796" w:rsidP="00086E41">
      <w:pPr>
        <w:numPr>
          <w:ilvl w:val="0"/>
          <w:numId w:val="12"/>
        </w:numPr>
        <w:spacing w:line="276" w:lineRule="auto"/>
        <w:rPr>
          <w:rFonts w:asciiTheme="minorHAnsi" w:hAnsiTheme="minorHAnsi"/>
          <w:szCs w:val="22"/>
        </w:rPr>
      </w:pPr>
      <w:r w:rsidRPr="00705782">
        <w:rPr>
          <w:rFonts w:asciiTheme="minorHAnsi" w:hAnsiTheme="minorHAnsi"/>
          <w:szCs w:val="22"/>
          <w:u w:val="single"/>
        </w:rPr>
        <w:t>Watch List:</w:t>
      </w:r>
      <w:r w:rsidRPr="00705782">
        <w:rPr>
          <w:rFonts w:asciiTheme="minorHAnsi" w:hAnsiTheme="minorHAnsi"/>
          <w:szCs w:val="22"/>
        </w:rPr>
        <w:t xml:space="preserve"> </w:t>
      </w:r>
      <w:r w:rsidR="00D530F0" w:rsidRPr="00705782">
        <w:rPr>
          <w:rFonts w:asciiTheme="minorHAnsi" w:hAnsiTheme="minorHAnsi"/>
          <w:szCs w:val="22"/>
        </w:rPr>
        <w:t xml:space="preserve">Percentage </w:t>
      </w:r>
      <w:r w:rsidRPr="00705782">
        <w:rPr>
          <w:rFonts w:asciiTheme="minorHAnsi" w:hAnsiTheme="minorHAnsi"/>
          <w:szCs w:val="22"/>
        </w:rPr>
        <w:t xml:space="preserve">BRR 6 </w:t>
      </w:r>
      <w:r w:rsidR="00415F2B" w:rsidRPr="00705782">
        <w:rPr>
          <w:rFonts w:asciiTheme="minorHAnsi" w:hAnsiTheme="minorHAnsi"/>
          <w:szCs w:val="22"/>
        </w:rPr>
        <w:t xml:space="preserve">&amp; 7 </w:t>
      </w:r>
      <w:r w:rsidRPr="00705782">
        <w:rPr>
          <w:rFonts w:asciiTheme="minorHAnsi" w:hAnsiTheme="minorHAnsi"/>
          <w:szCs w:val="22"/>
        </w:rPr>
        <w:t xml:space="preserve">loans </w:t>
      </w:r>
      <w:r w:rsidR="00D530F0" w:rsidRPr="00705782">
        <w:rPr>
          <w:rFonts w:asciiTheme="minorHAnsi" w:hAnsiTheme="minorHAnsi"/>
          <w:szCs w:val="22"/>
        </w:rPr>
        <w:t xml:space="preserve">and non-consumer loans </w:t>
      </w:r>
      <w:r w:rsidRPr="00705782">
        <w:rPr>
          <w:rFonts w:asciiTheme="minorHAnsi" w:hAnsiTheme="minorHAnsi"/>
          <w:szCs w:val="22"/>
        </w:rPr>
        <w:t xml:space="preserve">expired more than </w:t>
      </w:r>
      <w:r w:rsidR="00D530F0" w:rsidRPr="00705782">
        <w:rPr>
          <w:rFonts w:asciiTheme="minorHAnsi" w:hAnsiTheme="minorHAnsi"/>
          <w:szCs w:val="22"/>
        </w:rPr>
        <w:t>90</w:t>
      </w:r>
      <w:r w:rsidRPr="00705782">
        <w:rPr>
          <w:rFonts w:asciiTheme="minorHAnsi" w:hAnsiTheme="minorHAnsi"/>
          <w:szCs w:val="22"/>
        </w:rPr>
        <w:t>-days</w:t>
      </w:r>
      <w:r w:rsidR="00086E41">
        <w:rPr>
          <w:rFonts w:asciiTheme="minorHAnsi" w:hAnsiTheme="minorHAnsi"/>
          <w:szCs w:val="22"/>
        </w:rPr>
        <w:t>, relative to total loans.</w:t>
      </w:r>
    </w:p>
    <w:p w14:paraId="0BAC4F70" w14:textId="77777777" w:rsidR="00635796" w:rsidRPr="00705782" w:rsidRDefault="00635796" w:rsidP="00086E41">
      <w:pPr>
        <w:numPr>
          <w:ilvl w:val="0"/>
          <w:numId w:val="12"/>
        </w:numPr>
        <w:spacing w:line="276" w:lineRule="auto"/>
        <w:rPr>
          <w:rFonts w:asciiTheme="minorHAnsi" w:hAnsiTheme="minorHAnsi"/>
          <w:szCs w:val="22"/>
        </w:rPr>
      </w:pPr>
      <w:r w:rsidRPr="00705782">
        <w:rPr>
          <w:rFonts w:asciiTheme="minorHAnsi" w:hAnsiTheme="minorHAnsi"/>
          <w:szCs w:val="22"/>
          <w:u w:val="single"/>
        </w:rPr>
        <w:t>Expired Loans</w:t>
      </w:r>
      <w:r w:rsidR="00D530F0" w:rsidRPr="00705782">
        <w:rPr>
          <w:rFonts w:asciiTheme="minorHAnsi" w:hAnsiTheme="minorHAnsi"/>
          <w:szCs w:val="22"/>
          <w:u w:val="single"/>
        </w:rPr>
        <w:t>:</w:t>
      </w:r>
      <w:r w:rsidR="00D530F0" w:rsidRPr="00705782">
        <w:rPr>
          <w:rFonts w:asciiTheme="minorHAnsi" w:hAnsiTheme="minorHAnsi"/>
          <w:szCs w:val="22"/>
        </w:rPr>
        <w:t xml:space="preserve"> Percentage of loans expired 30-days or more relative to total loans.</w:t>
      </w:r>
    </w:p>
    <w:p w14:paraId="6C70384D" w14:textId="77777777" w:rsidR="00026276" w:rsidRPr="00392020" w:rsidRDefault="00026276" w:rsidP="00392020">
      <w:pPr>
        <w:pStyle w:val="Title"/>
        <w:spacing w:line="276" w:lineRule="auto"/>
        <w:rPr>
          <w:rFonts w:asciiTheme="minorHAnsi" w:hAnsiTheme="minorHAnsi"/>
          <w:sz w:val="28"/>
          <w:szCs w:val="28"/>
        </w:rPr>
      </w:pPr>
      <w:bookmarkStart w:id="87" w:name="_Toc321901256"/>
      <w:bookmarkStart w:id="88" w:name="_Toc507416363"/>
      <w:r w:rsidRPr="00392020">
        <w:rPr>
          <w:rFonts w:asciiTheme="minorHAnsi" w:hAnsiTheme="minorHAnsi"/>
          <w:sz w:val="28"/>
          <w:szCs w:val="28"/>
        </w:rPr>
        <w:lastRenderedPageBreak/>
        <w:t>Appendix “B” Concentration Limits</w:t>
      </w:r>
      <w:bookmarkEnd w:id="87"/>
      <w:bookmarkEnd w:id="88"/>
    </w:p>
    <w:p w14:paraId="282CE027" w14:textId="77777777" w:rsidR="00026276" w:rsidRPr="001166C6" w:rsidRDefault="005452FB" w:rsidP="00392020">
      <w:pPr>
        <w:numPr>
          <w:ilvl w:val="0"/>
          <w:numId w:val="7"/>
        </w:numPr>
        <w:spacing w:after="120" w:line="276" w:lineRule="auto"/>
        <w:ind w:left="357" w:hanging="357"/>
        <w:rPr>
          <w:rFonts w:asciiTheme="minorHAnsi" w:hAnsiTheme="minorHAnsi"/>
          <w:b/>
          <w:szCs w:val="22"/>
        </w:rPr>
      </w:pPr>
      <w:r w:rsidRPr="001166C6">
        <w:rPr>
          <w:rFonts w:asciiTheme="minorHAnsi" w:hAnsiTheme="minorHAnsi"/>
          <w:b/>
          <w:szCs w:val="22"/>
        </w:rPr>
        <w:t>Portfolio Limits</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807"/>
        <w:gridCol w:w="540"/>
        <w:gridCol w:w="810"/>
      </w:tblGrid>
      <w:tr w:rsidR="005452FB" w:rsidRPr="001166C6" w14:paraId="5DCB5901" w14:textId="77777777" w:rsidTr="00086E41">
        <w:tc>
          <w:tcPr>
            <w:tcW w:w="2583" w:type="dxa"/>
            <w:shd w:val="clear" w:color="auto" w:fill="D6E3BC"/>
          </w:tcPr>
          <w:p w14:paraId="5CA00D83" w14:textId="77777777" w:rsidR="005452FB" w:rsidRPr="001166C6" w:rsidRDefault="005452FB" w:rsidP="00392020">
            <w:pPr>
              <w:spacing w:line="276" w:lineRule="auto"/>
              <w:rPr>
                <w:rFonts w:asciiTheme="minorHAnsi" w:hAnsiTheme="minorHAnsi"/>
                <w:szCs w:val="22"/>
              </w:rPr>
            </w:pPr>
            <w:r w:rsidRPr="001166C6">
              <w:rPr>
                <w:rFonts w:asciiTheme="minorHAnsi" w:hAnsiTheme="minorHAnsi"/>
                <w:szCs w:val="22"/>
              </w:rPr>
              <w:t>Line of Business</w:t>
            </w:r>
          </w:p>
        </w:tc>
        <w:tc>
          <w:tcPr>
            <w:tcW w:w="2157" w:type="dxa"/>
            <w:gridSpan w:val="3"/>
            <w:shd w:val="clear" w:color="auto" w:fill="D6E3BC"/>
          </w:tcPr>
          <w:p w14:paraId="03333029"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Target Range</w:t>
            </w:r>
          </w:p>
        </w:tc>
      </w:tr>
      <w:tr w:rsidR="005452FB" w:rsidRPr="001166C6" w14:paraId="0877EC70" w14:textId="77777777" w:rsidTr="00086E41">
        <w:tc>
          <w:tcPr>
            <w:tcW w:w="2583" w:type="dxa"/>
          </w:tcPr>
          <w:p w14:paraId="5D225979" w14:textId="77777777" w:rsidR="005452FB" w:rsidRPr="001166C6" w:rsidRDefault="005452FB" w:rsidP="00392020">
            <w:pPr>
              <w:spacing w:line="276" w:lineRule="auto"/>
              <w:rPr>
                <w:rFonts w:asciiTheme="minorHAnsi" w:hAnsiTheme="minorHAnsi"/>
                <w:szCs w:val="22"/>
              </w:rPr>
            </w:pPr>
            <w:r w:rsidRPr="001166C6">
              <w:rPr>
                <w:rFonts w:asciiTheme="minorHAnsi" w:hAnsiTheme="minorHAnsi"/>
                <w:szCs w:val="22"/>
              </w:rPr>
              <w:t>RML, including</w:t>
            </w:r>
          </w:p>
        </w:tc>
        <w:tc>
          <w:tcPr>
            <w:tcW w:w="807" w:type="dxa"/>
          </w:tcPr>
          <w:p w14:paraId="09CF6D33"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40%</w:t>
            </w:r>
          </w:p>
        </w:tc>
        <w:tc>
          <w:tcPr>
            <w:tcW w:w="540" w:type="dxa"/>
          </w:tcPr>
          <w:p w14:paraId="759CE2C4"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1EB45D9C"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50%</w:t>
            </w:r>
          </w:p>
        </w:tc>
      </w:tr>
      <w:tr w:rsidR="005452FB" w:rsidRPr="001166C6" w14:paraId="505353FD" w14:textId="77777777" w:rsidTr="00086E41">
        <w:tc>
          <w:tcPr>
            <w:tcW w:w="2583" w:type="dxa"/>
          </w:tcPr>
          <w:p w14:paraId="7BB63217" w14:textId="77777777" w:rsidR="005452FB" w:rsidRPr="001166C6" w:rsidRDefault="006257C5" w:rsidP="006257C5">
            <w:pPr>
              <w:tabs>
                <w:tab w:val="left" w:pos="372"/>
              </w:tabs>
              <w:spacing w:line="276" w:lineRule="auto"/>
              <w:rPr>
                <w:rFonts w:asciiTheme="minorHAnsi" w:hAnsiTheme="minorHAnsi"/>
                <w:szCs w:val="22"/>
              </w:rPr>
            </w:pPr>
            <w:r>
              <w:rPr>
                <w:rFonts w:asciiTheme="minorHAnsi" w:hAnsiTheme="minorHAnsi"/>
                <w:szCs w:val="22"/>
              </w:rPr>
              <w:tab/>
            </w:r>
            <w:r w:rsidR="005452FB" w:rsidRPr="001166C6">
              <w:rPr>
                <w:rFonts w:asciiTheme="minorHAnsi" w:hAnsiTheme="minorHAnsi"/>
                <w:szCs w:val="22"/>
              </w:rPr>
              <w:t>RML Insured</w:t>
            </w:r>
          </w:p>
        </w:tc>
        <w:tc>
          <w:tcPr>
            <w:tcW w:w="807" w:type="dxa"/>
          </w:tcPr>
          <w:p w14:paraId="17AC9F68"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40%</w:t>
            </w:r>
          </w:p>
        </w:tc>
        <w:tc>
          <w:tcPr>
            <w:tcW w:w="540" w:type="dxa"/>
          </w:tcPr>
          <w:p w14:paraId="546C26C8"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5418A3DE"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60%</w:t>
            </w:r>
          </w:p>
        </w:tc>
      </w:tr>
      <w:tr w:rsidR="005452FB" w:rsidRPr="001166C6" w14:paraId="1D42AB9A" w14:textId="77777777" w:rsidTr="00086E41">
        <w:tc>
          <w:tcPr>
            <w:tcW w:w="2583" w:type="dxa"/>
          </w:tcPr>
          <w:p w14:paraId="27C9F0AC" w14:textId="77777777" w:rsidR="005452FB" w:rsidRPr="001166C6" w:rsidRDefault="005452FB" w:rsidP="006257C5">
            <w:pPr>
              <w:spacing w:line="276" w:lineRule="auto"/>
              <w:jc w:val="center"/>
              <w:rPr>
                <w:rFonts w:asciiTheme="minorHAnsi" w:hAnsiTheme="minorHAnsi"/>
                <w:szCs w:val="22"/>
              </w:rPr>
            </w:pPr>
            <w:r w:rsidRPr="001166C6">
              <w:rPr>
                <w:rFonts w:asciiTheme="minorHAnsi" w:hAnsiTheme="minorHAnsi"/>
                <w:szCs w:val="22"/>
              </w:rPr>
              <w:t>RML Conventional</w:t>
            </w:r>
          </w:p>
        </w:tc>
        <w:tc>
          <w:tcPr>
            <w:tcW w:w="807" w:type="dxa"/>
          </w:tcPr>
          <w:p w14:paraId="0922AF35"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40%</w:t>
            </w:r>
          </w:p>
        </w:tc>
        <w:tc>
          <w:tcPr>
            <w:tcW w:w="540" w:type="dxa"/>
          </w:tcPr>
          <w:p w14:paraId="12A84AFD"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5D51915E"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60%</w:t>
            </w:r>
          </w:p>
        </w:tc>
      </w:tr>
      <w:tr w:rsidR="005452FB" w:rsidRPr="001166C6" w14:paraId="762C0DFB" w14:textId="77777777" w:rsidTr="00086E41">
        <w:tc>
          <w:tcPr>
            <w:tcW w:w="2583" w:type="dxa"/>
          </w:tcPr>
          <w:p w14:paraId="21BDEE5E" w14:textId="77777777" w:rsidR="005452FB" w:rsidRPr="001166C6" w:rsidRDefault="005452FB" w:rsidP="00392020">
            <w:pPr>
              <w:spacing w:line="276" w:lineRule="auto"/>
              <w:rPr>
                <w:rFonts w:asciiTheme="minorHAnsi" w:hAnsiTheme="minorHAnsi"/>
                <w:szCs w:val="22"/>
              </w:rPr>
            </w:pPr>
            <w:r w:rsidRPr="001166C6">
              <w:rPr>
                <w:rFonts w:asciiTheme="minorHAnsi" w:hAnsiTheme="minorHAnsi"/>
                <w:szCs w:val="22"/>
              </w:rPr>
              <w:t>HELOC</w:t>
            </w:r>
          </w:p>
        </w:tc>
        <w:tc>
          <w:tcPr>
            <w:tcW w:w="807" w:type="dxa"/>
          </w:tcPr>
          <w:p w14:paraId="0E6E4133"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10%</w:t>
            </w:r>
          </w:p>
        </w:tc>
        <w:tc>
          <w:tcPr>
            <w:tcW w:w="540" w:type="dxa"/>
          </w:tcPr>
          <w:p w14:paraId="36C80C15"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33845134"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20%</w:t>
            </w:r>
          </w:p>
        </w:tc>
      </w:tr>
      <w:tr w:rsidR="005452FB" w:rsidRPr="001166C6" w14:paraId="0554618D" w14:textId="77777777" w:rsidTr="00086E41">
        <w:tc>
          <w:tcPr>
            <w:tcW w:w="2583" w:type="dxa"/>
          </w:tcPr>
          <w:p w14:paraId="13214B13" w14:textId="77777777" w:rsidR="005452FB" w:rsidRPr="001166C6" w:rsidRDefault="005452FB" w:rsidP="00392020">
            <w:pPr>
              <w:spacing w:line="276" w:lineRule="auto"/>
              <w:rPr>
                <w:rFonts w:asciiTheme="minorHAnsi" w:hAnsiTheme="minorHAnsi"/>
                <w:szCs w:val="22"/>
              </w:rPr>
            </w:pPr>
            <w:proofErr w:type="gramStart"/>
            <w:r w:rsidRPr="001166C6">
              <w:rPr>
                <w:rFonts w:asciiTheme="minorHAnsi" w:hAnsiTheme="minorHAnsi"/>
                <w:szCs w:val="22"/>
              </w:rPr>
              <w:t>Other</w:t>
            </w:r>
            <w:proofErr w:type="gramEnd"/>
            <w:r w:rsidRPr="001166C6">
              <w:rPr>
                <w:rFonts w:asciiTheme="minorHAnsi" w:hAnsiTheme="minorHAnsi"/>
                <w:szCs w:val="22"/>
              </w:rPr>
              <w:t xml:space="preserve"> Consumer</w:t>
            </w:r>
          </w:p>
        </w:tc>
        <w:tc>
          <w:tcPr>
            <w:tcW w:w="807" w:type="dxa"/>
          </w:tcPr>
          <w:p w14:paraId="7F49D929"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5%</w:t>
            </w:r>
          </w:p>
        </w:tc>
        <w:tc>
          <w:tcPr>
            <w:tcW w:w="540" w:type="dxa"/>
          </w:tcPr>
          <w:p w14:paraId="4F1D021D"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26E6F511"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10%</w:t>
            </w:r>
          </w:p>
        </w:tc>
      </w:tr>
      <w:tr w:rsidR="005452FB" w:rsidRPr="001166C6" w14:paraId="2BB52F8A" w14:textId="77777777" w:rsidTr="00086E41">
        <w:tc>
          <w:tcPr>
            <w:tcW w:w="2583" w:type="dxa"/>
          </w:tcPr>
          <w:p w14:paraId="112EFF92" w14:textId="77777777" w:rsidR="005452FB" w:rsidRPr="001166C6" w:rsidRDefault="006257C5" w:rsidP="006257C5">
            <w:pPr>
              <w:tabs>
                <w:tab w:val="left" w:pos="342"/>
              </w:tabs>
              <w:spacing w:line="276" w:lineRule="auto"/>
              <w:rPr>
                <w:rFonts w:asciiTheme="minorHAnsi" w:hAnsiTheme="minorHAnsi"/>
                <w:szCs w:val="22"/>
              </w:rPr>
            </w:pPr>
            <w:r>
              <w:rPr>
                <w:rFonts w:asciiTheme="minorHAnsi" w:hAnsiTheme="minorHAnsi"/>
                <w:szCs w:val="22"/>
              </w:rPr>
              <w:tab/>
            </w:r>
            <w:r w:rsidR="005452FB" w:rsidRPr="001166C6">
              <w:rPr>
                <w:rFonts w:asciiTheme="minorHAnsi" w:hAnsiTheme="minorHAnsi"/>
                <w:szCs w:val="22"/>
              </w:rPr>
              <w:t>Credit Card</w:t>
            </w:r>
          </w:p>
        </w:tc>
        <w:tc>
          <w:tcPr>
            <w:tcW w:w="807" w:type="dxa"/>
          </w:tcPr>
          <w:p w14:paraId="530F30FF"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3%</w:t>
            </w:r>
          </w:p>
        </w:tc>
        <w:tc>
          <w:tcPr>
            <w:tcW w:w="540" w:type="dxa"/>
          </w:tcPr>
          <w:p w14:paraId="08D77FE1"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4E519B07"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5%</w:t>
            </w:r>
          </w:p>
        </w:tc>
      </w:tr>
      <w:tr w:rsidR="005452FB" w:rsidRPr="001166C6" w14:paraId="02C5F608" w14:textId="77777777" w:rsidTr="00086E41">
        <w:tc>
          <w:tcPr>
            <w:tcW w:w="2583" w:type="dxa"/>
          </w:tcPr>
          <w:p w14:paraId="60ED8C5C" w14:textId="77777777" w:rsidR="005452FB" w:rsidRPr="001166C6" w:rsidRDefault="005452FB" w:rsidP="00392020">
            <w:pPr>
              <w:spacing w:line="276" w:lineRule="auto"/>
              <w:rPr>
                <w:rFonts w:asciiTheme="minorHAnsi" w:hAnsiTheme="minorHAnsi"/>
                <w:szCs w:val="22"/>
              </w:rPr>
            </w:pPr>
            <w:r w:rsidRPr="001166C6">
              <w:rPr>
                <w:rFonts w:asciiTheme="minorHAnsi" w:hAnsiTheme="minorHAnsi"/>
                <w:szCs w:val="22"/>
              </w:rPr>
              <w:t>Agriculture</w:t>
            </w:r>
          </w:p>
        </w:tc>
        <w:tc>
          <w:tcPr>
            <w:tcW w:w="807" w:type="dxa"/>
          </w:tcPr>
          <w:p w14:paraId="142E8D5A"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5%</w:t>
            </w:r>
          </w:p>
        </w:tc>
        <w:tc>
          <w:tcPr>
            <w:tcW w:w="540" w:type="dxa"/>
          </w:tcPr>
          <w:p w14:paraId="58F166B2"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3FFDB2ED"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10%</w:t>
            </w:r>
          </w:p>
        </w:tc>
      </w:tr>
      <w:tr w:rsidR="005452FB" w:rsidRPr="001166C6" w14:paraId="46E47DE0" w14:textId="77777777" w:rsidTr="00086E41">
        <w:tc>
          <w:tcPr>
            <w:tcW w:w="2583" w:type="dxa"/>
          </w:tcPr>
          <w:p w14:paraId="7F7C52C4" w14:textId="77777777" w:rsidR="005452FB" w:rsidRPr="001166C6" w:rsidRDefault="005452FB" w:rsidP="00392020">
            <w:pPr>
              <w:spacing w:line="276" w:lineRule="auto"/>
              <w:rPr>
                <w:rFonts w:asciiTheme="minorHAnsi" w:hAnsiTheme="minorHAnsi"/>
                <w:szCs w:val="22"/>
              </w:rPr>
            </w:pPr>
            <w:r w:rsidRPr="001166C6">
              <w:rPr>
                <w:rFonts w:asciiTheme="minorHAnsi" w:hAnsiTheme="minorHAnsi"/>
                <w:szCs w:val="22"/>
              </w:rPr>
              <w:t>Small Business</w:t>
            </w:r>
          </w:p>
        </w:tc>
        <w:tc>
          <w:tcPr>
            <w:tcW w:w="807" w:type="dxa"/>
          </w:tcPr>
          <w:p w14:paraId="5F801C72"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20%</w:t>
            </w:r>
          </w:p>
        </w:tc>
        <w:tc>
          <w:tcPr>
            <w:tcW w:w="540" w:type="dxa"/>
          </w:tcPr>
          <w:p w14:paraId="50D019E7"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5A7EA09D"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30%</w:t>
            </w:r>
          </w:p>
        </w:tc>
      </w:tr>
      <w:tr w:rsidR="005452FB" w:rsidRPr="001166C6" w14:paraId="75D15032" w14:textId="77777777" w:rsidTr="00086E41">
        <w:tc>
          <w:tcPr>
            <w:tcW w:w="2583" w:type="dxa"/>
          </w:tcPr>
          <w:p w14:paraId="46BDE838" w14:textId="77777777" w:rsidR="005452FB" w:rsidRPr="001166C6" w:rsidRDefault="005452FB" w:rsidP="00392020">
            <w:pPr>
              <w:spacing w:line="276" w:lineRule="auto"/>
              <w:rPr>
                <w:rFonts w:asciiTheme="minorHAnsi" w:hAnsiTheme="minorHAnsi"/>
                <w:szCs w:val="22"/>
              </w:rPr>
            </w:pPr>
            <w:r w:rsidRPr="001166C6">
              <w:rPr>
                <w:rFonts w:asciiTheme="minorHAnsi" w:hAnsiTheme="minorHAnsi"/>
                <w:szCs w:val="22"/>
              </w:rPr>
              <w:t>Commercial</w:t>
            </w:r>
          </w:p>
        </w:tc>
        <w:tc>
          <w:tcPr>
            <w:tcW w:w="807" w:type="dxa"/>
          </w:tcPr>
          <w:p w14:paraId="7E82911E"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25%</w:t>
            </w:r>
          </w:p>
        </w:tc>
        <w:tc>
          <w:tcPr>
            <w:tcW w:w="540" w:type="dxa"/>
          </w:tcPr>
          <w:p w14:paraId="720637DD"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to</w:t>
            </w:r>
          </w:p>
        </w:tc>
        <w:tc>
          <w:tcPr>
            <w:tcW w:w="810" w:type="dxa"/>
          </w:tcPr>
          <w:p w14:paraId="7399FECF" w14:textId="77777777" w:rsidR="005452FB" w:rsidRPr="001166C6" w:rsidRDefault="005452FB" w:rsidP="00392020">
            <w:pPr>
              <w:spacing w:line="276" w:lineRule="auto"/>
              <w:jc w:val="center"/>
              <w:rPr>
                <w:rFonts w:asciiTheme="minorHAnsi" w:hAnsiTheme="minorHAnsi"/>
                <w:szCs w:val="22"/>
              </w:rPr>
            </w:pPr>
            <w:r w:rsidRPr="001166C6">
              <w:rPr>
                <w:rFonts w:asciiTheme="minorHAnsi" w:hAnsiTheme="minorHAnsi"/>
                <w:szCs w:val="22"/>
              </w:rPr>
              <w:t>35%</w:t>
            </w:r>
          </w:p>
        </w:tc>
      </w:tr>
    </w:tbl>
    <w:p w14:paraId="324A24B2" w14:textId="70BCA7C2" w:rsidR="00DB3367" w:rsidRPr="00681529" w:rsidRDefault="00DB3367" w:rsidP="009C45B7">
      <w:pPr>
        <w:numPr>
          <w:ilvl w:val="0"/>
          <w:numId w:val="7"/>
        </w:numPr>
        <w:spacing w:before="120" w:line="276" w:lineRule="auto"/>
        <w:rPr>
          <w:rFonts w:asciiTheme="minorHAnsi" w:hAnsiTheme="minorHAnsi"/>
          <w:szCs w:val="22"/>
        </w:rPr>
      </w:pPr>
      <w:r w:rsidRPr="00681529">
        <w:rPr>
          <w:rFonts w:asciiTheme="minorHAnsi" w:hAnsiTheme="minorHAnsi"/>
          <w:b/>
          <w:szCs w:val="22"/>
        </w:rPr>
        <w:t>Non-conforming Conventional RML and HELOC:</w:t>
      </w:r>
      <w:r w:rsidR="00681529" w:rsidRPr="00681529">
        <w:rPr>
          <w:rFonts w:asciiTheme="minorHAnsi" w:hAnsiTheme="minorHAnsi"/>
          <w:b/>
          <w:szCs w:val="22"/>
        </w:rPr>
        <w:t xml:space="preserve"> </w:t>
      </w:r>
      <w:r w:rsidRPr="00681529">
        <w:rPr>
          <w:rFonts w:asciiTheme="minorHAnsi" w:hAnsiTheme="minorHAnsi"/>
          <w:szCs w:val="22"/>
        </w:rPr>
        <w:t>Maximum 5% of the RML &amp; HELOC portfolio</w:t>
      </w:r>
    </w:p>
    <w:p w14:paraId="038567B3" w14:textId="33D598FF" w:rsidR="00681529" w:rsidRPr="00681529" w:rsidRDefault="00681529" w:rsidP="00681529">
      <w:pPr>
        <w:numPr>
          <w:ilvl w:val="0"/>
          <w:numId w:val="7"/>
        </w:numPr>
        <w:spacing w:line="276" w:lineRule="auto"/>
        <w:rPr>
          <w:rFonts w:asciiTheme="minorHAnsi" w:hAnsiTheme="minorHAnsi"/>
          <w:szCs w:val="22"/>
        </w:rPr>
      </w:pPr>
      <w:r w:rsidRPr="00681529">
        <w:rPr>
          <w:rFonts w:asciiTheme="minorHAnsi" w:hAnsiTheme="minorHAnsi"/>
          <w:b/>
          <w:szCs w:val="22"/>
        </w:rPr>
        <w:t>Aggregate RML exceeding 25-year amortization</w:t>
      </w:r>
      <w:r>
        <w:rPr>
          <w:rFonts w:asciiTheme="minorHAnsi" w:hAnsiTheme="minorHAnsi"/>
          <w:szCs w:val="22"/>
        </w:rPr>
        <w:t xml:space="preserve"> 15% of conventional mortgages</w:t>
      </w:r>
    </w:p>
    <w:p w14:paraId="616E836C" w14:textId="77777777" w:rsidR="00026276" w:rsidRPr="001166C6" w:rsidRDefault="00026276" w:rsidP="009C45B7">
      <w:pPr>
        <w:numPr>
          <w:ilvl w:val="0"/>
          <w:numId w:val="7"/>
        </w:numPr>
        <w:spacing w:line="276" w:lineRule="auto"/>
        <w:rPr>
          <w:rFonts w:asciiTheme="minorHAnsi" w:hAnsiTheme="minorHAnsi"/>
          <w:b/>
          <w:szCs w:val="22"/>
        </w:rPr>
      </w:pPr>
      <w:r w:rsidRPr="001166C6">
        <w:rPr>
          <w:rFonts w:asciiTheme="minorHAnsi" w:hAnsiTheme="minorHAnsi"/>
          <w:b/>
          <w:szCs w:val="22"/>
        </w:rPr>
        <w:t>Industry</w:t>
      </w:r>
      <w:r w:rsidR="00F44D52" w:rsidRPr="001166C6">
        <w:rPr>
          <w:rFonts w:asciiTheme="minorHAnsi" w:hAnsiTheme="minorHAnsi"/>
          <w:b/>
          <w:szCs w:val="22"/>
        </w:rPr>
        <w:t xml:space="preserve"> Specific</w:t>
      </w:r>
      <w:r w:rsidR="00DE51D3" w:rsidRPr="001166C6">
        <w:rPr>
          <w:rFonts w:asciiTheme="minorHAnsi" w:hAnsiTheme="minorHAnsi"/>
          <w:b/>
          <w:szCs w:val="22"/>
        </w:rPr>
        <w:t xml:space="preserve"> Limits</w:t>
      </w:r>
    </w:p>
    <w:p w14:paraId="67B4C05E" w14:textId="77777777" w:rsidR="001E6A75" w:rsidRPr="001166C6" w:rsidRDefault="00026276" w:rsidP="009C4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2"/>
        </w:tabs>
        <w:spacing w:line="276" w:lineRule="auto"/>
        <w:ind w:left="360"/>
        <w:rPr>
          <w:rFonts w:asciiTheme="minorHAnsi" w:hAnsiTheme="minorHAnsi"/>
          <w:color w:val="2E74B5"/>
          <w:szCs w:val="22"/>
        </w:rPr>
      </w:pPr>
      <w:r w:rsidRPr="001166C6">
        <w:rPr>
          <w:rFonts w:asciiTheme="minorHAnsi" w:hAnsiTheme="minorHAnsi"/>
          <w:szCs w:val="22"/>
        </w:rPr>
        <w:t>Hospitality</w:t>
      </w:r>
      <w:r w:rsidR="001E6A75" w:rsidRPr="001166C6">
        <w:rPr>
          <w:rFonts w:asciiTheme="minorHAnsi" w:hAnsiTheme="minorHAnsi"/>
          <w:szCs w:val="22"/>
        </w:rPr>
        <w:t xml:space="preserve"> (Hotels &amp; Motels)</w:t>
      </w:r>
      <w:r w:rsidR="005452FB" w:rsidRPr="001166C6">
        <w:rPr>
          <w:rFonts w:asciiTheme="minorHAnsi" w:hAnsiTheme="minorHAnsi"/>
          <w:szCs w:val="22"/>
        </w:rPr>
        <w:t>:</w:t>
      </w:r>
      <w:r w:rsidR="001E6A75" w:rsidRPr="001166C6">
        <w:rPr>
          <w:rFonts w:asciiTheme="minorHAnsi" w:hAnsiTheme="minorHAnsi"/>
          <w:szCs w:val="22"/>
        </w:rPr>
        <w:t xml:space="preserve"> </w:t>
      </w:r>
      <w:r w:rsidRPr="001166C6">
        <w:rPr>
          <w:rFonts w:asciiTheme="minorHAnsi" w:hAnsiTheme="minorHAnsi"/>
          <w:szCs w:val="22"/>
        </w:rPr>
        <w:t xml:space="preserve">14% of non-consumer loans </w:t>
      </w:r>
      <w:r w:rsidRPr="001166C6">
        <w:rPr>
          <w:rFonts w:asciiTheme="minorHAnsi" w:hAnsiTheme="minorHAnsi"/>
          <w:color w:val="2E74B5"/>
          <w:szCs w:val="22"/>
        </w:rPr>
        <w:t>(Note</w:t>
      </w:r>
      <w:r w:rsidR="00DE51D3" w:rsidRPr="001166C6">
        <w:rPr>
          <w:rFonts w:asciiTheme="minorHAnsi" w:hAnsiTheme="minorHAnsi"/>
          <w:color w:val="2E74B5"/>
          <w:szCs w:val="22"/>
        </w:rPr>
        <w:t>:</w:t>
      </w:r>
      <w:r w:rsidRPr="001166C6">
        <w:rPr>
          <w:rFonts w:asciiTheme="minorHAnsi" w:hAnsiTheme="minorHAnsi"/>
          <w:color w:val="2E74B5"/>
          <w:szCs w:val="22"/>
        </w:rPr>
        <w:t xml:space="preserve"> CUDGC requirement maximum 15%)</w:t>
      </w:r>
    </w:p>
    <w:p w14:paraId="1C44B2D6" w14:textId="77777777" w:rsidR="00026276" w:rsidRPr="001166C6" w:rsidRDefault="00026276" w:rsidP="009C4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2"/>
        </w:tabs>
        <w:spacing w:line="276" w:lineRule="auto"/>
        <w:ind w:left="360"/>
        <w:rPr>
          <w:rFonts w:asciiTheme="minorHAnsi" w:hAnsiTheme="minorHAnsi"/>
          <w:szCs w:val="22"/>
        </w:rPr>
      </w:pPr>
      <w:r w:rsidRPr="001166C6">
        <w:rPr>
          <w:rFonts w:asciiTheme="minorHAnsi" w:hAnsiTheme="minorHAnsi"/>
          <w:szCs w:val="22"/>
        </w:rPr>
        <w:t>Commercial Real Estate (Real Estate, Construction and Hospitality)</w:t>
      </w:r>
      <w:r w:rsidR="00DE51D3" w:rsidRPr="001166C6">
        <w:rPr>
          <w:rFonts w:asciiTheme="minorHAnsi" w:hAnsiTheme="minorHAnsi"/>
          <w:szCs w:val="22"/>
        </w:rPr>
        <w:t>: 15</w:t>
      </w:r>
      <w:r w:rsidRPr="001166C6">
        <w:rPr>
          <w:rFonts w:asciiTheme="minorHAnsi" w:hAnsiTheme="minorHAnsi"/>
          <w:szCs w:val="22"/>
        </w:rPr>
        <w:t xml:space="preserve">0% </w:t>
      </w:r>
      <w:r w:rsidR="00DE51D3" w:rsidRPr="001166C6">
        <w:rPr>
          <w:rFonts w:asciiTheme="minorHAnsi" w:hAnsiTheme="minorHAnsi"/>
          <w:szCs w:val="22"/>
        </w:rPr>
        <w:t xml:space="preserve">Total </w:t>
      </w:r>
      <w:r w:rsidR="005E1F4C" w:rsidRPr="001166C6">
        <w:rPr>
          <w:rFonts w:asciiTheme="minorHAnsi" w:hAnsiTheme="minorHAnsi"/>
          <w:szCs w:val="22"/>
        </w:rPr>
        <w:t xml:space="preserve">Available </w:t>
      </w:r>
      <w:r w:rsidRPr="001166C6">
        <w:rPr>
          <w:rFonts w:asciiTheme="minorHAnsi" w:hAnsiTheme="minorHAnsi"/>
          <w:szCs w:val="22"/>
        </w:rPr>
        <w:t>Capital</w:t>
      </w:r>
    </w:p>
    <w:p w14:paraId="128D89AC" w14:textId="77777777" w:rsidR="00026276" w:rsidRPr="001166C6" w:rsidRDefault="00026276" w:rsidP="009C45B7">
      <w:pPr>
        <w:numPr>
          <w:ilvl w:val="0"/>
          <w:numId w:val="7"/>
        </w:numPr>
        <w:spacing w:line="276" w:lineRule="auto"/>
        <w:rPr>
          <w:rFonts w:asciiTheme="minorHAnsi" w:hAnsiTheme="minorHAnsi"/>
          <w:szCs w:val="22"/>
        </w:rPr>
      </w:pPr>
      <w:r w:rsidRPr="001166C6">
        <w:rPr>
          <w:rFonts w:asciiTheme="minorHAnsi" w:hAnsiTheme="minorHAnsi"/>
          <w:b/>
          <w:szCs w:val="22"/>
        </w:rPr>
        <w:t>Syndication loans</w:t>
      </w:r>
      <w:r w:rsidR="00DE51D3" w:rsidRPr="001166C6">
        <w:rPr>
          <w:rFonts w:asciiTheme="minorHAnsi" w:hAnsiTheme="minorHAnsi"/>
          <w:szCs w:val="22"/>
        </w:rPr>
        <w:t xml:space="preserve">: </w:t>
      </w:r>
      <w:r w:rsidRPr="001166C6">
        <w:rPr>
          <w:rFonts w:asciiTheme="minorHAnsi" w:hAnsiTheme="minorHAnsi"/>
          <w:szCs w:val="22"/>
        </w:rPr>
        <w:t xml:space="preserve">100% </w:t>
      </w:r>
      <w:r w:rsidR="00DE51D3" w:rsidRPr="001166C6">
        <w:rPr>
          <w:rFonts w:asciiTheme="minorHAnsi" w:hAnsiTheme="minorHAnsi"/>
          <w:szCs w:val="22"/>
        </w:rPr>
        <w:t xml:space="preserve">Total </w:t>
      </w:r>
      <w:r w:rsidR="001F6B03" w:rsidRPr="001166C6">
        <w:rPr>
          <w:rFonts w:asciiTheme="minorHAnsi" w:hAnsiTheme="minorHAnsi"/>
          <w:szCs w:val="22"/>
        </w:rPr>
        <w:t xml:space="preserve">Available </w:t>
      </w:r>
      <w:r w:rsidRPr="001166C6">
        <w:rPr>
          <w:rFonts w:asciiTheme="minorHAnsi" w:hAnsiTheme="minorHAnsi"/>
          <w:szCs w:val="22"/>
        </w:rPr>
        <w:t>Capital</w:t>
      </w:r>
    </w:p>
    <w:p w14:paraId="5AE73B5D" w14:textId="77777777" w:rsidR="00026276" w:rsidRPr="001166C6" w:rsidRDefault="00026276" w:rsidP="009C45B7">
      <w:pPr>
        <w:numPr>
          <w:ilvl w:val="0"/>
          <w:numId w:val="7"/>
        </w:numPr>
        <w:spacing w:line="276" w:lineRule="auto"/>
        <w:rPr>
          <w:rFonts w:asciiTheme="minorHAnsi" w:hAnsiTheme="minorHAnsi"/>
          <w:b/>
          <w:szCs w:val="22"/>
        </w:rPr>
      </w:pPr>
      <w:r w:rsidRPr="001166C6">
        <w:rPr>
          <w:rFonts w:asciiTheme="minorHAnsi" w:hAnsiTheme="minorHAnsi"/>
          <w:b/>
          <w:szCs w:val="22"/>
        </w:rPr>
        <w:t>Geographic Concentration:</w:t>
      </w:r>
    </w:p>
    <w:p w14:paraId="73DD3B3E" w14:textId="77777777" w:rsidR="00026276" w:rsidRPr="001166C6" w:rsidRDefault="00026276" w:rsidP="009C45B7">
      <w:pPr>
        <w:spacing w:line="276" w:lineRule="auto"/>
        <w:ind w:left="360"/>
        <w:rPr>
          <w:rFonts w:asciiTheme="minorHAnsi" w:hAnsiTheme="minorHAnsi"/>
          <w:szCs w:val="22"/>
        </w:rPr>
      </w:pPr>
      <w:r w:rsidRPr="001166C6">
        <w:rPr>
          <w:rFonts w:asciiTheme="minorHAnsi" w:hAnsiTheme="minorHAnsi"/>
          <w:szCs w:val="22"/>
        </w:rPr>
        <w:t>Out of Market</w:t>
      </w:r>
      <w:r w:rsidR="00DE51D3" w:rsidRPr="001166C6">
        <w:rPr>
          <w:rFonts w:asciiTheme="minorHAnsi" w:hAnsiTheme="minorHAnsi"/>
          <w:szCs w:val="22"/>
        </w:rPr>
        <w:t xml:space="preserve"> Service Area:</w:t>
      </w:r>
      <w:r w:rsidRPr="001166C6">
        <w:rPr>
          <w:rFonts w:asciiTheme="minorHAnsi" w:hAnsiTheme="minorHAnsi"/>
          <w:szCs w:val="22"/>
        </w:rPr>
        <w:t xml:space="preserve"> 50% </w:t>
      </w:r>
      <w:r w:rsidR="00DE51D3" w:rsidRPr="001166C6">
        <w:rPr>
          <w:rFonts w:asciiTheme="minorHAnsi" w:hAnsiTheme="minorHAnsi"/>
          <w:szCs w:val="22"/>
        </w:rPr>
        <w:t xml:space="preserve">total </w:t>
      </w:r>
      <w:r w:rsidR="005E1F4C" w:rsidRPr="001166C6">
        <w:rPr>
          <w:rFonts w:asciiTheme="minorHAnsi" w:hAnsiTheme="minorHAnsi"/>
          <w:szCs w:val="22"/>
        </w:rPr>
        <w:t>Available C</w:t>
      </w:r>
      <w:r w:rsidRPr="001166C6">
        <w:rPr>
          <w:rFonts w:asciiTheme="minorHAnsi" w:hAnsiTheme="minorHAnsi"/>
          <w:szCs w:val="22"/>
        </w:rPr>
        <w:t>apital</w:t>
      </w:r>
    </w:p>
    <w:p w14:paraId="0936BF46" w14:textId="77777777" w:rsidR="00026276" w:rsidRPr="001166C6" w:rsidRDefault="00026276" w:rsidP="009C45B7">
      <w:pPr>
        <w:spacing w:line="276" w:lineRule="auto"/>
        <w:ind w:left="357"/>
        <w:rPr>
          <w:rFonts w:asciiTheme="minorHAnsi" w:hAnsiTheme="minorHAnsi"/>
          <w:szCs w:val="22"/>
        </w:rPr>
      </w:pPr>
      <w:r w:rsidRPr="001166C6">
        <w:rPr>
          <w:rFonts w:asciiTheme="minorHAnsi" w:hAnsiTheme="minorHAnsi"/>
          <w:szCs w:val="22"/>
        </w:rPr>
        <w:t xml:space="preserve">Special Geographical Exposures (i.e. Fort </w:t>
      </w:r>
      <w:proofErr w:type="spellStart"/>
      <w:r w:rsidRPr="001166C6">
        <w:rPr>
          <w:rFonts w:asciiTheme="minorHAnsi" w:hAnsiTheme="minorHAnsi"/>
          <w:szCs w:val="22"/>
        </w:rPr>
        <w:t>McMurrray</w:t>
      </w:r>
      <w:proofErr w:type="spellEnd"/>
      <w:r w:rsidRPr="001166C6">
        <w:rPr>
          <w:rFonts w:asciiTheme="minorHAnsi" w:hAnsiTheme="minorHAnsi"/>
          <w:szCs w:val="22"/>
        </w:rPr>
        <w:t>)</w:t>
      </w:r>
      <w:r w:rsidR="00DE51D3" w:rsidRPr="001166C6">
        <w:rPr>
          <w:rFonts w:asciiTheme="minorHAnsi" w:hAnsiTheme="minorHAnsi"/>
          <w:szCs w:val="22"/>
        </w:rPr>
        <w:t xml:space="preserve"> </w:t>
      </w:r>
      <w:r w:rsidR="001F5C26" w:rsidRPr="001166C6">
        <w:rPr>
          <w:rFonts w:asciiTheme="minorHAnsi" w:hAnsiTheme="minorHAnsi"/>
          <w:szCs w:val="22"/>
        </w:rPr>
        <w:fldChar w:fldCharType="begin"/>
      </w:r>
      <w:r w:rsidR="001F5C26" w:rsidRPr="001166C6">
        <w:rPr>
          <w:rFonts w:asciiTheme="minorHAnsi" w:hAnsiTheme="minorHAnsi"/>
          <w:szCs w:val="22"/>
        </w:rPr>
        <w:instrText xml:space="preserve"> MACROBUTTON  AcceptAllChangesInDoc # </w:instrText>
      </w:r>
      <w:r w:rsidR="001F5C26" w:rsidRPr="001166C6">
        <w:rPr>
          <w:rFonts w:asciiTheme="minorHAnsi" w:hAnsiTheme="minorHAnsi"/>
          <w:szCs w:val="22"/>
        </w:rPr>
        <w:fldChar w:fldCharType="end"/>
      </w:r>
      <w:r w:rsidR="00DE51D3" w:rsidRPr="001166C6">
        <w:rPr>
          <w:rFonts w:asciiTheme="minorHAnsi" w:hAnsiTheme="minorHAnsi"/>
          <w:szCs w:val="22"/>
        </w:rPr>
        <w:t xml:space="preserve">% </w:t>
      </w:r>
      <w:r w:rsidR="005E1F4C" w:rsidRPr="001166C6">
        <w:rPr>
          <w:rFonts w:asciiTheme="minorHAnsi" w:hAnsiTheme="minorHAnsi"/>
          <w:szCs w:val="22"/>
        </w:rPr>
        <w:t>Available</w:t>
      </w:r>
      <w:r w:rsidR="00DE51D3" w:rsidRPr="001166C6">
        <w:rPr>
          <w:rFonts w:asciiTheme="minorHAnsi" w:hAnsiTheme="minorHAnsi"/>
          <w:szCs w:val="22"/>
        </w:rPr>
        <w:t xml:space="preserve"> </w:t>
      </w:r>
      <w:r w:rsidR="005E1F4C" w:rsidRPr="001166C6">
        <w:rPr>
          <w:rFonts w:asciiTheme="minorHAnsi" w:hAnsiTheme="minorHAnsi"/>
          <w:szCs w:val="22"/>
        </w:rPr>
        <w:t>C</w:t>
      </w:r>
      <w:r w:rsidR="00DE51D3" w:rsidRPr="001166C6">
        <w:rPr>
          <w:rFonts w:asciiTheme="minorHAnsi" w:hAnsiTheme="minorHAnsi"/>
          <w:szCs w:val="22"/>
        </w:rPr>
        <w:t>apital</w:t>
      </w:r>
    </w:p>
    <w:p w14:paraId="14549CC0" w14:textId="77777777" w:rsidR="001166C6" w:rsidRDefault="001166C6" w:rsidP="009C45B7">
      <w:pPr>
        <w:spacing w:line="276" w:lineRule="auto"/>
        <w:ind w:left="357"/>
        <w:rPr>
          <w:rFonts w:asciiTheme="minorHAnsi" w:hAnsiTheme="minorHAnsi"/>
          <w:szCs w:val="22"/>
        </w:rPr>
      </w:pPr>
    </w:p>
    <w:p w14:paraId="0D0E2DB2" w14:textId="77777777" w:rsidR="00BC16C7" w:rsidRPr="001166C6" w:rsidRDefault="00E95FF5" w:rsidP="009C45B7">
      <w:pPr>
        <w:spacing w:after="120" w:line="276" w:lineRule="auto"/>
        <w:ind w:left="357"/>
        <w:rPr>
          <w:rFonts w:asciiTheme="minorHAnsi" w:hAnsiTheme="minorHAnsi"/>
          <w:szCs w:val="22"/>
        </w:rPr>
      </w:pPr>
      <w:r w:rsidRPr="001166C6">
        <w:rPr>
          <w:rFonts w:asciiTheme="minorHAnsi" w:hAnsiTheme="minorHAnsi"/>
          <w:szCs w:val="22"/>
        </w:rPr>
        <w:t>I</w:t>
      </w:r>
      <w:r w:rsidR="00650E56" w:rsidRPr="001166C6">
        <w:rPr>
          <w:rFonts w:asciiTheme="minorHAnsi" w:hAnsiTheme="minorHAnsi"/>
          <w:szCs w:val="22"/>
        </w:rPr>
        <w:t xml:space="preserve">n no instance </w:t>
      </w:r>
      <w:r w:rsidRPr="001166C6">
        <w:rPr>
          <w:rFonts w:asciiTheme="minorHAnsi" w:hAnsiTheme="minorHAnsi"/>
          <w:szCs w:val="22"/>
        </w:rPr>
        <w:t xml:space="preserve">will </w:t>
      </w:r>
      <w:r w:rsidR="004F2163" w:rsidRPr="001166C6">
        <w:rPr>
          <w:rFonts w:asciiTheme="minorHAnsi" w:hAnsiTheme="minorHAnsi"/>
          <w:szCs w:val="22"/>
        </w:rPr>
        <w:t>direct</w:t>
      </w:r>
      <w:r w:rsidRPr="001166C6">
        <w:rPr>
          <w:rFonts w:asciiTheme="minorHAnsi" w:hAnsiTheme="minorHAnsi"/>
          <w:szCs w:val="22"/>
        </w:rPr>
        <w:t xml:space="preserve"> </w:t>
      </w:r>
      <w:r w:rsidR="00C34CC7" w:rsidRPr="001166C6">
        <w:rPr>
          <w:rFonts w:asciiTheme="minorHAnsi" w:hAnsiTheme="minorHAnsi"/>
          <w:szCs w:val="22"/>
        </w:rPr>
        <w:t>and connected</w:t>
      </w:r>
      <w:r w:rsidR="004F2163" w:rsidRPr="001166C6">
        <w:rPr>
          <w:rFonts w:asciiTheme="minorHAnsi" w:hAnsiTheme="minorHAnsi"/>
          <w:szCs w:val="22"/>
        </w:rPr>
        <w:t xml:space="preserve"> exposure</w:t>
      </w:r>
      <w:r w:rsidR="00650E56" w:rsidRPr="001166C6">
        <w:rPr>
          <w:rFonts w:asciiTheme="minorHAnsi" w:hAnsiTheme="minorHAnsi"/>
          <w:szCs w:val="22"/>
        </w:rPr>
        <w:t xml:space="preserve"> exceed </w:t>
      </w:r>
      <w:r w:rsidR="002D16C8" w:rsidRPr="001166C6">
        <w:rPr>
          <w:rFonts w:asciiTheme="minorHAnsi" w:hAnsiTheme="minorHAnsi"/>
          <w:szCs w:val="22"/>
        </w:rPr>
        <w:t xml:space="preserve">the maximum limits allowed under Credit Union Regulations </w:t>
      </w:r>
      <w:r w:rsidR="0088206F" w:rsidRPr="001166C6">
        <w:rPr>
          <w:rFonts w:asciiTheme="minorHAnsi" w:hAnsiTheme="minorHAnsi"/>
          <w:szCs w:val="22"/>
        </w:rPr>
        <w:t>S54(1)</w:t>
      </w:r>
      <w:r w:rsidRPr="001166C6">
        <w:rPr>
          <w:rFonts w:asciiTheme="minorHAnsi" w:hAnsiTheme="minorHAnsi"/>
          <w:szCs w:val="22"/>
        </w:rPr>
        <w:t>.</w:t>
      </w:r>
    </w:p>
    <w:p w14:paraId="73FBC520" w14:textId="77777777" w:rsidR="00802544" w:rsidRPr="00783090" w:rsidRDefault="00802544" w:rsidP="00392020">
      <w:pPr>
        <w:numPr>
          <w:ilvl w:val="0"/>
          <w:numId w:val="7"/>
        </w:numPr>
        <w:spacing w:after="120" w:line="276" w:lineRule="auto"/>
        <w:ind w:left="357" w:hanging="357"/>
        <w:rPr>
          <w:rFonts w:asciiTheme="minorHAnsi" w:hAnsiTheme="minorHAnsi"/>
          <w:b/>
          <w:szCs w:val="22"/>
        </w:rPr>
      </w:pPr>
      <w:r w:rsidRPr="00783090">
        <w:rPr>
          <w:rFonts w:asciiTheme="minorHAnsi" w:hAnsiTheme="minorHAnsi"/>
          <w:b/>
          <w:szCs w:val="22"/>
        </w:rPr>
        <w:t>Residential Mortgage Product Lending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2523"/>
        <w:gridCol w:w="2610"/>
      </w:tblGrid>
      <w:tr w:rsidR="00802544" w:rsidRPr="00783090" w14:paraId="2FE75FE9" w14:textId="77777777" w:rsidTr="00EB532E">
        <w:trPr>
          <w:trHeight w:val="332"/>
        </w:trPr>
        <w:tc>
          <w:tcPr>
            <w:tcW w:w="0" w:type="auto"/>
            <w:shd w:val="clear" w:color="auto" w:fill="EAF1DD"/>
            <w:vAlign w:val="center"/>
          </w:tcPr>
          <w:p w14:paraId="1CC6570F" w14:textId="77777777" w:rsidR="00802544" w:rsidRPr="00783090" w:rsidRDefault="00802544" w:rsidP="006257C5">
            <w:pPr>
              <w:pStyle w:val="ListParagraph"/>
              <w:spacing w:after="60"/>
              <w:ind w:left="0"/>
              <w:contextualSpacing w:val="0"/>
              <w:rPr>
                <w:rFonts w:asciiTheme="minorHAnsi" w:hAnsiTheme="minorHAnsi"/>
                <w:b/>
              </w:rPr>
            </w:pPr>
            <w:r w:rsidRPr="00783090">
              <w:rPr>
                <w:rFonts w:asciiTheme="minorHAnsi" w:hAnsiTheme="minorHAnsi"/>
                <w:b/>
              </w:rPr>
              <w:t>Product</w:t>
            </w:r>
          </w:p>
        </w:tc>
        <w:tc>
          <w:tcPr>
            <w:tcW w:w="2523" w:type="dxa"/>
            <w:shd w:val="clear" w:color="auto" w:fill="EAF1DD"/>
            <w:vAlign w:val="center"/>
          </w:tcPr>
          <w:p w14:paraId="0006ACCD" w14:textId="77777777" w:rsidR="00802544" w:rsidRPr="00783090" w:rsidRDefault="00802544" w:rsidP="006257C5">
            <w:pPr>
              <w:pStyle w:val="ListParagraph"/>
              <w:spacing w:after="60"/>
              <w:ind w:left="0"/>
              <w:contextualSpacing w:val="0"/>
              <w:jc w:val="center"/>
              <w:rPr>
                <w:rFonts w:asciiTheme="minorHAnsi" w:hAnsiTheme="minorHAnsi"/>
                <w:b/>
              </w:rPr>
            </w:pPr>
            <w:r w:rsidRPr="00783090">
              <w:rPr>
                <w:rFonts w:asciiTheme="minorHAnsi" w:hAnsiTheme="minorHAnsi"/>
                <w:b/>
              </w:rPr>
              <w:t>Standard L/V Maximum</w:t>
            </w:r>
          </w:p>
        </w:tc>
        <w:tc>
          <w:tcPr>
            <w:tcW w:w="2610" w:type="dxa"/>
            <w:shd w:val="clear" w:color="auto" w:fill="EAF1DD"/>
            <w:vAlign w:val="center"/>
          </w:tcPr>
          <w:p w14:paraId="1B1FD97D" w14:textId="77777777" w:rsidR="00802544" w:rsidRPr="00783090" w:rsidRDefault="00802544" w:rsidP="006257C5">
            <w:pPr>
              <w:pStyle w:val="ListParagraph"/>
              <w:spacing w:after="60"/>
              <w:ind w:left="0"/>
              <w:contextualSpacing w:val="0"/>
              <w:jc w:val="center"/>
              <w:rPr>
                <w:rFonts w:asciiTheme="minorHAnsi" w:hAnsiTheme="minorHAnsi"/>
                <w:b/>
              </w:rPr>
            </w:pPr>
            <w:r w:rsidRPr="00783090">
              <w:rPr>
                <w:rFonts w:asciiTheme="minorHAnsi" w:hAnsiTheme="minorHAnsi"/>
                <w:b/>
              </w:rPr>
              <w:t>Exception L/V Maximum</w:t>
            </w:r>
          </w:p>
        </w:tc>
      </w:tr>
      <w:tr w:rsidR="00802544" w:rsidRPr="00783090" w14:paraId="058EB8EF" w14:textId="77777777" w:rsidTr="00EB532E">
        <w:trPr>
          <w:trHeight w:val="20"/>
        </w:trPr>
        <w:tc>
          <w:tcPr>
            <w:tcW w:w="0" w:type="auto"/>
            <w:vAlign w:val="center"/>
          </w:tcPr>
          <w:p w14:paraId="5A574A68" w14:textId="77777777" w:rsidR="00802544" w:rsidRPr="00783090" w:rsidRDefault="00802544" w:rsidP="006257C5">
            <w:pPr>
              <w:pStyle w:val="ListParagraph"/>
              <w:spacing w:after="60"/>
              <w:ind w:left="0"/>
              <w:contextualSpacing w:val="0"/>
              <w:rPr>
                <w:rFonts w:asciiTheme="minorHAnsi" w:hAnsiTheme="minorHAnsi"/>
              </w:rPr>
            </w:pPr>
            <w:r w:rsidRPr="00783090">
              <w:rPr>
                <w:rFonts w:asciiTheme="minorHAnsi" w:hAnsiTheme="minorHAnsi"/>
              </w:rPr>
              <w:t>Conventional Mortgage (Purchase)</w:t>
            </w:r>
          </w:p>
        </w:tc>
        <w:tc>
          <w:tcPr>
            <w:tcW w:w="2523" w:type="dxa"/>
            <w:vAlign w:val="center"/>
          </w:tcPr>
          <w:p w14:paraId="61CE4CAC"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80%</w:t>
            </w:r>
          </w:p>
        </w:tc>
        <w:tc>
          <w:tcPr>
            <w:tcW w:w="2610" w:type="dxa"/>
            <w:vAlign w:val="center"/>
          </w:tcPr>
          <w:p w14:paraId="42605AF8"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N/A</w:t>
            </w:r>
          </w:p>
        </w:tc>
      </w:tr>
      <w:tr w:rsidR="00802544" w:rsidRPr="00783090" w14:paraId="3B8BA694" w14:textId="77777777" w:rsidTr="00EB532E">
        <w:trPr>
          <w:trHeight w:val="20"/>
        </w:trPr>
        <w:tc>
          <w:tcPr>
            <w:tcW w:w="0" w:type="auto"/>
            <w:vAlign w:val="center"/>
          </w:tcPr>
          <w:p w14:paraId="4F595E53" w14:textId="77777777" w:rsidR="00802544" w:rsidRPr="00783090" w:rsidRDefault="00802544" w:rsidP="006257C5">
            <w:pPr>
              <w:pStyle w:val="ListParagraph"/>
              <w:spacing w:after="60"/>
              <w:ind w:left="0"/>
              <w:contextualSpacing w:val="0"/>
              <w:rPr>
                <w:rFonts w:asciiTheme="minorHAnsi" w:hAnsiTheme="minorHAnsi"/>
              </w:rPr>
            </w:pPr>
            <w:r w:rsidRPr="00783090">
              <w:rPr>
                <w:rFonts w:asciiTheme="minorHAnsi" w:hAnsiTheme="minorHAnsi"/>
              </w:rPr>
              <w:t>Conventional Mortgage (Refinancing)</w:t>
            </w:r>
          </w:p>
        </w:tc>
        <w:tc>
          <w:tcPr>
            <w:tcW w:w="2523" w:type="dxa"/>
            <w:vAlign w:val="center"/>
          </w:tcPr>
          <w:p w14:paraId="32846427"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75%</w:t>
            </w:r>
          </w:p>
        </w:tc>
        <w:tc>
          <w:tcPr>
            <w:tcW w:w="2610" w:type="dxa"/>
            <w:vAlign w:val="center"/>
          </w:tcPr>
          <w:p w14:paraId="1C030962"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80%</w:t>
            </w:r>
          </w:p>
        </w:tc>
      </w:tr>
      <w:tr w:rsidR="00802544" w:rsidRPr="00783090" w14:paraId="55EA9F84" w14:textId="77777777" w:rsidTr="00EB532E">
        <w:trPr>
          <w:trHeight w:val="20"/>
        </w:trPr>
        <w:tc>
          <w:tcPr>
            <w:tcW w:w="0" w:type="auto"/>
            <w:vAlign w:val="center"/>
          </w:tcPr>
          <w:p w14:paraId="77825B85" w14:textId="77777777" w:rsidR="00802544" w:rsidRPr="00783090" w:rsidRDefault="00802544" w:rsidP="006257C5">
            <w:pPr>
              <w:pStyle w:val="ListParagraph"/>
              <w:spacing w:after="60"/>
              <w:ind w:left="0"/>
              <w:contextualSpacing w:val="0"/>
              <w:rPr>
                <w:rFonts w:asciiTheme="minorHAnsi" w:hAnsiTheme="minorHAnsi"/>
              </w:rPr>
            </w:pPr>
            <w:r w:rsidRPr="00783090">
              <w:rPr>
                <w:rFonts w:asciiTheme="minorHAnsi" w:hAnsiTheme="minorHAnsi"/>
              </w:rPr>
              <w:t>Non-conforming Mortgage* (Purchase)</w:t>
            </w:r>
          </w:p>
        </w:tc>
        <w:tc>
          <w:tcPr>
            <w:tcW w:w="2523" w:type="dxa"/>
            <w:vAlign w:val="center"/>
          </w:tcPr>
          <w:p w14:paraId="5EFE02C3" w14:textId="77777777" w:rsidR="00802544" w:rsidRPr="00783090" w:rsidRDefault="00DB3367" w:rsidP="006257C5">
            <w:pPr>
              <w:pStyle w:val="ListParagraph"/>
              <w:spacing w:after="60"/>
              <w:ind w:left="0"/>
              <w:contextualSpacing w:val="0"/>
              <w:jc w:val="center"/>
              <w:rPr>
                <w:rFonts w:asciiTheme="minorHAnsi" w:hAnsiTheme="minorHAnsi"/>
              </w:rPr>
            </w:pPr>
            <w:r w:rsidRPr="00783090">
              <w:rPr>
                <w:rFonts w:asciiTheme="minorHAnsi" w:hAnsiTheme="minorHAnsi"/>
              </w:rPr>
              <w:t>65</w:t>
            </w:r>
            <w:r w:rsidR="00802544" w:rsidRPr="00783090">
              <w:rPr>
                <w:rFonts w:asciiTheme="minorHAnsi" w:hAnsiTheme="minorHAnsi"/>
              </w:rPr>
              <w:t>%</w:t>
            </w:r>
          </w:p>
        </w:tc>
        <w:tc>
          <w:tcPr>
            <w:tcW w:w="2610" w:type="dxa"/>
            <w:vAlign w:val="center"/>
          </w:tcPr>
          <w:p w14:paraId="51BCE002"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80%</w:t>
            </w:r>
          </w:p>
        </w:tc>
      </w:tr>
      <w:tr w:rsidR="00802544" w:rsidRPr="00783090" w14:paraId="72C8A7F3" w14:textId="77777777" w:rsidTr="00EB532E">
        <w:trPr>
          <w:trHeight w:val="20"/>
        </w:trPr>
        <w:tc>
          <w:tcPr>
            <w:tcW w:w="0" w:type="auto"/>
            <w:vAlign w:val="center"/>
          </w:tcPr>
          <w:p w14:paraId="24F66F49" w14:textId="77777777" w:rsidR="00802544" w:rsidRPr="00783090" w:rsidRDefault="00086E41" w:rsidP="006257C5">
            <w:pPr>
              <w:pStyle w:val="ListParagraph"/>
              <w:spacing w:after="60"/>
              <w:ind w:left="0"/>
              <w:contextualSpacing w:val="0"/>
              <w:rPr>
                <w:rFonts w:asciiTheme="minorHAnsi" w:hAnsiTheme="minorHAnsi"/>
              </w:rPr>
            </w:pPr>
            <w:r>
              <w:rPr>
                <w:rFonts w:asciiTheme="minorHAnsi" w:hAnsiTheme="minorHAnsi"/>
              </w:rPr>
              <w:t>Non-conforming Mortgage</w:t>
            </w:r>
            <w:r w:rsidR="00802544" w:rsidRPr="00783090">
              <w:rPr>
                <w:rFonts w:asciiTheme="minorHAnsi" w:hAnsiTheme="minorHAnsi"/>
              </w:rPr>
              <w:t>* (Refinancing)</w:t>
            </w:r>
          </w:p>
        </w:tc>
        <w:tc>
          <w:tcPr>
            <w:tcW w:w="2523" w:type="dxa"/>
            <w:vAlign w:val="center"/>
          </w:tcPr>
          <w:p w14:paraId="1D17FF51" w14:textId="77777777" w:rsidR="00802544" w:rsidRPr="00783090" w:rsidRDefault="00DB3367" w:rsidP="006257C5">
            <w:pPr>
              <w:pStyle w:val="ListParagraph"/>
              <w:spacing w:after="60"/>
              <w:ind w:left="0"/>
              <w:contextualSpacing w:val="0"/>
              <w:jc w:val="center"/>
              <w:rPr>
                <w:rFonts w:asciiTheme="minorHAnsi" w:hAnsiTheme="minorHAnsi"/>
              </w:rPr>
            </w:pPr>
            <w:r w:rsidRPr="00783090">
              <w:rPr>
                <w:rFonts w:asciiTheme="minorHAnsi" w:hAnsiTheme="minorHAnsi"/>
              </w:rPr>
              <w:t>60</w:t>
            </w:r>
            <w:r w:rsidR="00802544" w:rsidRPr="00783090">
              <w:rPr>
                <w:rFonts w:asciiTheme="minorHAnsi" w:hAnsiTheme="minorHAnsi"/>
              </w:rPr>
              <w:t>%</w:t>
            </w:r>
          </w:p>
        </w:tc>
        <w:tc>
          <w:tcPr>
            <w:tcW w:w="2610" w:type="dxa"/>
            <w:vAlign w:val="center"/>
          </w:tcPr>
          <w:p w14:paraId="3CAA77F4" w14:textId="77777777" w:rsidR="00802544" w:rsidRPr="00783090" w:rsidRDefault="001F6B03" w:rsidP="006257C5">
            <w:pPr>
              <w:pStyle w:val="ListParagraph"/>
              <w:spacing w:after="60"/>
              <w:ind w:left="0"/>
              <w:contextualSpacing w:val="0"/>
              <w:jc w:val="center"/>
              <w:rPr>
                <w:rFonts w:asciiTheme="minorHAnsi" w:hAnsiTheme="minorHAnsi"/>
              </w:rPr>
            </w:pPr>
            <w:r w:rsidRPr="00783090">
              <w:rPr>
                <w:rFonts w:asciiTheme="minorHAnsi" w:hAnsiTheme="minorHAnsi"/>
              </w:rPr>
              <w:t>75</w:t>
            </w:r>
            <w:r w:rsidR="00802544" w:rsidRPr="00783090">
              <w:rPr>
                <w:rFonts w:asciiTheme="minorHAnsi" w:hAnsiTheme="minorHAnsi"/>
              </w:rPr>
              <w:t>%</w:t>
            </w:r>
          </w:p>
        </w:tc>
      </w:tr>
      <w:tr w:rsidR="00802544" w:rsidRPr="00783090" w14:paraId="4E9A122F" w14:textId="77777777" w:rsidTr="00EB532E">
        <w:trPr>
          <w:trHeight w:val="20"/>
        </w:trPr>
        <w:tc>
          <w:tcPr>
            <w:tcW w:w="0" w:type="auto"/>
            <w:vAlign w:val="center"/>
          </w:tcPr>
          <w:p w14:paraId="16E00D17" w14:textId="77777777" w:rsidR="00802544" w:rsidRPr="00783090" w:rsidRDefault="00802544" w:rsidP="006257C5">
            <w:pPr>
              <w:pStyle w:val="ListParagraph"/>
              <w:spacing w:after="60"/>
              <w:ind w:left="0"/>
              <w:contextualSpacing w:val="0"/>
              <w:rPr>
                <w:rFonts w:asciiTheme="minorHAnsi" w:hAnsiTheme="minorHAnsi"/>
              </w:rPr>
            </w:pPr>
            <w:r w:rsidRPr="00783090">
              <w:rPr>
                <w:rFonts w:asciiTheme="minorHAnsi" w:hAnsiTheme="minorHAnsi"/>
              </w:rPr>
              <w:t>Recreational Property Mortgage</w:t>
            </w:r>
          </w:p>
        </w:tc>
        <w:tc>
          <w:tcPr>
            <w:tcW w:w="2523" w:type="dxa"/>
            <w:vAlign w:val="center"/>
          </w:tcPr>
          <w:p w14:paraId="2C62EFEB"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7</w:t>
            </w:r>
            <w:r w:rsidR="001A71AF" w:rsidRPr="00783090">
              <w:rPr>
                <w:rFonts w:asciiTheme="minorHAnsi" w:hAnsiTheme="minorHAnsi"/>
              </w:rPr>
              <w:t>0</w:t>
            </w:r>
            <w:r w:rsidRPr="00783090">
              <w:rPr>
                <w:rFonts w:asciiTheme="minorHAnsi" w:hAnsiTheme="minorHAnsi"/>
              </w:rPr>
              <w:t>%</w:t>
            </w:r>
          </w:p>
        </w:tc>
        <w:tc>
          <w:tcPr>
            <w:tcW w:w="2610" w:type="dxa"/>
            <w:vAlign w:val="center"/>
          </w:tcPr>
          <w:p w14:paraId="6A9AC590" w14:textId="77777777" w:rsidR="00802544" w:rsidRPr="00783090" w:rsidRDefault="001F6B03" w:rsidP="006257C5">
            <w:pPr>
              <w:pStyle w:val="ListParagraph"/>
              <w:spacing w:after="60"/>
              <w:ind w:left="0"/>
              <w:contextualSpacing w:val="0"/>
              <w:jc w:val="center"/>
              <w:rPr>
                <w:rFonts w:asciiTheme="minorHAnsi" w:hAnsiTheme="minorHAnsi"/>
              </w:rPr>
            </w:pPr>
            <w:r w:rsidRPr="00783090">
              <w:rPr>
                <w:rFonts w:asciiTheme="minorHAnsi" w:hAnsiTheme="minorHAnsi"/>
              </w:rPr>
              <w:t>75</w:t>
            </w:r>
            <w:r w:rsidR="00802544" w:rsidRPr="00783090">
              <w:rPr>
                <w:rFonts w:asciiTheme="minorHAnsi" w:hAnsiTheme="minorHAnsi"/>
              </w:rPr>
              <w:t>%</w:t>
            </w:r>
          </w:p>
        </w:tc>
      </w:tr>
      <w:tr w:rsidR="00802544" w:rsidRPr="00783090" w14:paraId="75ABFE42" w14:textId="77777777" w:rsidTr="00EB532E">
        <w:trPr>
          <w:trHeight w:val="20"/>
        </w:trPr>
        <w:tc>
          <w:tcPr>
            <w:tcW w:w="0" w:type="auto"/>
            <w:vAlign w:val="center"/>
          </w:tcPr>
          <w:p w14:paraId="07B86BFF" w14:textId="77777777" w:rsidR="00802544" w:rsidRPr="00783090" w:rsidRDefault="00802544" w:rsidP="006257C5">
            <w:pPr>
              <w:pStyle w:val="ListParagraph"/>
              <w:spacing w:after="60"/>
              <w:ind w:left="0"/>
              <w:contextualSpacing w:val="0"/>
              <w:rPr>
                <w:rFonts w:asciiTheme="minorHAnsi" w:hAnsiTheme="minorHAnsi"/>
              </w:rPr>
            </w:pPr>
            <w:r w:rsidRPr="00783090">
              <w:rPr>
                <w:rFonts w:asciiTheme="minorHAnsi" w:hAnsiTheme="minorHAnsi"/>
              </w:rPr>
              <w:t>Non-</w:t>
            </w:r>
            <w:proofErr w:type="gramStart"/>
            <w:r w:rsidRPr="00783090">
              <w:rPr>
                <w:rFonts w:asciiTheme="minorHAnsi" w:hAnsiTheme="minorHAnsi"/>
              </w:rPr>
              <w:t>owner occupied</w:t>
            </w:r>
            <w:proofErr w:type="gramEnd"/>
            <w:r w:rsidRPr="00783090">
              <w:rPr>
                <w:rFonts w:asciiTheme="minorHAnsi" w:hAnsiTheme="minorHAnsi"/>
              </w:rPr>
              <w:t xml:space="preserve"> Mortgage</w:t>
            </w:r>
          </w:p>
        </w:tc>
        <w:tc>
          <w:tcPr>
            <w:tcW w:w="2523" w:type="dxa"/>
            <w:vAlign w:val="center"/>
          </w:tcPr>
          <w:p w14:paraId="4913BDB9" w14:textId="77777777" w:rsidR="00802544" w:rsidRPr="00783090" w:rsidRDefault="001A71AF" w:rsidP="006257C5">
            <w:pPr>
              <w:pStyle w:val="ListParagraph"/>
              <w:spacing w:after="60"/>
              <w:ind w:left="0"/>
              <w:contextualSpacing w:val="0"/>
              <w:jc w:val="center"/>
              <w:rPr>
                <w:rFonts w:asciiTheme="minorHAnsi" w:hAnsiTheme="minorHAnsi"/>
              </w:rPr>
            </w:pPr>
            <w:r w:rsidRPr="00783090">
              <w:rPr>
                <w:rFonts w:asciiTheme="minorHAnsi" w:hAnsiTheme="minorHAnsi"/>
              </w:rPr>
              <w:t>70</w:t>
            </w:r>
            <w:r w:rsidR="00802544" w:rsidRPr="00783090">
              <w:rPr>
                <w:rFonts w:asciiTheme="minorHAnsi" w:hAnsiTheme="minorHAnsi"/>
              </w:rPr>
              <w:t>%</w:t>
            </w:r>
          </w:p>
        </w:tc>
        <w:tc>
          <w:tcPr>
            <w:tcW w:w="2610" w:type="dxa"/>
            <w:vAlign w:val="center"/>
          </w:tcPr>
          <w:p w14:paraId="156242DE"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75%</w:t>
            </w:r>
          </w:p>
        </w:tc>
      </w:tr>
      <w:tr w:rsidR="00802544" w:rsidRPr="00783090" w14:paraId="65E82499" w14:textId="77777777" w:rsidTr="00EB532E">
        <w:trPr>
          <w:trHeight w:val="20"/>
        </w:trPr>
        <w:tc>
          <w:tcPr>
            <w:tcW w:w="0" w:type="auto"/>
            <w:vAlign w:val="center"/>
          </w:tcPr>
          <w:p w14:paraId="62463258" w14:textId="77777777" w:rsidR="00802544" w:rsidRPr="00783090" w:rsidRDefault="00802544" w:rsidP="006257C5">
            <w:pPr>
              <w:pStyle w:val="ListParagraph"/>
              <w:spacing w:after="60"/>
              <w:ind w:left="0"/>
              <w:contextualSpacing w:val="0"/>
              <w:rPr>
                <w:rFonts w:asciiTheme="minorHAnsi" w:hAnsiTheme="minorHAnsi"/>
              </w:rPr>
            </w:pPr>
            <w:r w:rsidRPr="00783090">
              <w:rPr>
                <w:rFonts w:asciiTheme="minorHAnsi" w:hAnsiTheme="minorHAnsi"/>
              </w:rPr>
              <w:t>Home Equity Line of Credit</w:t>
            </w:r>
          </w:p>
        </w:tc>
        <w:tc>
          <w:tcPr>
            <w:tcW w:w="2523" w:type="dxa"/>
            <w:vAlign w:val="center"/>
          </w:tcPr>
          <w:p w14:paraId="3A064A49"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65%</w:t>
            </w:r>
          </w:p>
        </w:tc>
        <w:tc>
          <w:tcPr>
            <w:tcW w:w="2610" w:type="dxa"/>
            <w:vAlign w:val="center"/>
          </w:tcPr>
          <w:p w14:paraId="1E5CB713" w14:textId="77777777" w:rsidR="00802544" w:rsidRPr="00783090" w:rsidRDefault="00802544" w:rsidP="006257C5">
            <w:pPr>
              <w:pStyle w:val="ListParagraph"/>
              <w:spacing w:after="60"/>
              <w:ind w:left="0"/>
              <w:contextualSpacing w:val="0"/>
              <w:jc w:val="center"/>
              <w:rPr>
                <w:rFonts w:asciiTheme="minorHAnsi" w:hAnsiTheme="minorHAnsi"/>
              </w:rPr>
            </w:pPr>
            <w:r w:rsidRPr="00783090">
              <w:rPr>
                <w:rFonts w:asciiTheme="minorHAnsi" w:hAnsiTheme="minorHAnsi"/>
              </w:rPr>
              <w:t>75%</w:t>
            </w:r>
          </w:p>
        </w:tc>
      </w:tr>
    </w:tbl>
    <w:p w14:paraId="15D0F37A" w14:textId="77777777" w:rsidR="00802544" w:rsidRPr="00783090" w:rsidRDefault="00802544" w:rsidP="00392020">
      <w:pPr>
        <w:spacing w:after="120" w:line="276" w:lineRule="auto"/>
        <w:rPr>
          <w:rFonts w:asciiTheme="minorHAnsi" w:hAnsiTheme="minorHAnsi"/>
          <w:szCs w:val="22"/>
        </w:rPr>
      </w:pPr>
      <w:r w:rsidRPr="00783090">
        <w:rPr>
          <w:rFonts w:asciiTheme="minorHAnsi" w:hAnsiTheme="minorHAnsi"/>
          <w:i/>
          <w:szCs w:val="22"/>
        </w:rPr>
        <w:t>*</w:t>
      </w:r>
      <w:r w:rsidR="00B73CB1" w:rsidRPr="00783090">
        <w:rPr>
          <w:rFonts w:asciiTheme="minorHAnsi" w:hAnsiTheme="minorHAnsi"/>
          <w:b/>
          <w:i/>
          <w:szCs w:val="22"/>
        </w:rPr>
        <w:t>See glossary</w:t>
      </w:r>
      <w:r w:rsidRPr="00783090">
        <w:rPr>
          <w:rFonts w:asciiTheme="minorHAnsi" w:hAnsiTheme="minorHAnsi"/>
          <w:szCs w:val="22"/>
        </w:rPr>
        <w:t>.</w:t>
      </w:r>
    </w:p>
    <w:p w14:paraId="0C194665" w14:textId="77777777" w:rsidR="00802544" w:rsidRPr="00783090" w:rsidRDefault="00802544" w:rsidP="009C45B7">
      <w:pPr>
        <w:spacing w:line="276" w:lineRule="auto"/>
        <w:rPr>
          <w:rFonts w:asciiTheme="minorHAnsi" w:hAnsiTheme="minorHAnsi"/>
          <w:szCs w:val="22"/>
        </w:rPr>
      </w:pPr>
      <w:r w:rsidRPr="00783090">
        <w:rPr>
          <w:rFonts w:asciiTheme="minorHAnsi" w:hAnsiTheme="minorHAnsi"/>
          <w:szCs w:val="22"/>
        </w:rPr>
        <w:t>Exception parameters:</w:t>
      </w:r>
    </w:p>
    <w:p w14:paraId="40AE5793" w14:textId="77777777" w:rsidR="00802544" w:rsidRPr="00783090" w:rsidRDefault="00802544" w:rsidP="009C45B7">
      <w:pPr>
        <w:pStyle w:val="ListParagraph"/>
        <w:numPr>
          <w:ilvl w:val="0"/>
          <w:numId w:val="20"/>
        </w:numPr>
        <w:spacing w:line="276" w:lineRule="auto"/>
        <w:ind w:left="714" w:hanging="357"/>
        <w:contextualSpacing w:val="0"/>
        <w:jc w:val="both"/>
        <w:rPr>
          <w:rFonts w:asciiTheme="minorHAnsi" w:hAnsiTheme="minorHAnsi"/>
        </w:rPr>
      </w:pPr>
      <w:r w:rsidRPr="00783090">
        <w:rPr>
          <w:rFonts w:asciiTheme="minorHAnsi" w:hAnsiTheme="minorHAnsi"/>
        </w:rPr>
        <w:t xml:space="preserve">The exception L/V must be authorized by designated credit </w:t>
      </w:r>
      <w:r w:rsidR="00BF4E34" w:rsidRPr="00783090">
        <w:rPr>
          <w:rFonts w:asciiTheme="minorHAnsi" w:hAnsiTheme="minorHAnsi"/>
        </w:rPr>
        <w:t>approval authority,</w:t>
      </w:r>
      <w:r w:rsidRPr="00783090">
        <w:rPr>
          <w:rFonts w:asciiTheme="minorHAnsi" w:hAnsiTheme="minorHAnsi"/>
        </w:rPr>
        <w:t xml:space="preserve"> on a risk mitigated basis</w:t>
      </w:r>
      <w:r w:rsidR="009C45B7">
        <w:rPr>
          <w:rFonts w:asciiTheme="minorHAnsi" w:hAnsiTheme="minorHAnsi"/>
        </w:rPr>
        <w:t>.</w:t>
      </w:r>
    </w:p>
    <w:p w14:paraId="7B6275CB" w14:textId="77777777" w:rsidR="00802544" w:rsidRPr="00783090" w:rsidRDefault="00802544" w:rsidP="009C45B7">
      <w:pPr>
        <w:pStyle w:val="ListParagraph"/>
        <w:numPr>
          <w:ilvl w:val="0"/>
          <w:numId w:val="20"/>
        </w:numPr>
        <w:spacing w:line="276" w:lineRule="auto"/>
        <w:ind w:left="714" w:hanging="357"/>
        <w:contextualSpacing w:val="0"/>
        <w:jc w:val="both"/>
        <w:rPr>
          <w:rFonts w:asciiTheme="minorHAnsi" w:hAnsiTheme="minorHAnsi"/>
        </w:rPr>
      </w:pPr>
      <w:r w:rsidRPr="00783090">
        <w:rPr>
          <w:rFonts w:asciiTheme="minorHAnsi" w:hAnsiTheme="minorHAnsi"/>
        </w:rPr>
        <w:t xml:space="preserve">Exception approvals are not to exceed 10% of aggregate mortgage/HELOC </w:t>
      </w:r>
      <w:r w:rsidR="009C45B7">
        <w:rPr>
          <w:rFonts w:asciiTheme="minorHAnsi" w:hAnsiTheme="minorHAnsi"/>
        </w:rPr>
        <w:t>loans originated in the quarter.</w:t>
      </w:r>
    </w:p>
    <w:p w14:paraId="0B4DF352" w14:textId="77777777" w:rsidR="00802544" w:rsidRPr="00783090" w:rsidRDefault="00802544" w:rsidP="009C45B7">
      <w:pPr>
        <w:pStyle w:val="ListParagraph"/>
        <w:numPr>
          <w:ilvl w:val="0"/>
          <w:numId w:val="20"/>
        </w:numPr>
        <w:spacing w:line="276" w:lineRule="auto"/>
        <w:ind w:left="714" w:hanging="357"/>
        <w:contextualSpacing w:val="0"/>
        <w:jc w:val="both"/>
        <w:rPr>
          <w:rFonts w:asciiTheme="minorHAnsi" w:hAnsiTheme="minorHAnsi"/>
        </w:rPr>
      </w:pPr>
      <w:r w:rsidRPr="00783090">
        <w:rPr>
          <w:rFonts w:asciiTheme="minorHAnsi" w:hAnsiTheme="minorHAnsi"/>
        </w:rPr>
        <w:t>The Board is to receive quarterly aggregate exception reports.</w:t>
      </w:r>
    </w:p>
    <w:p w14:paraId="487C4CF5" w14:textId="77777777" w:rsidR="00026276" w:rsidRPr="00392020" w:rsidRDefault="00C54826" w:rsidP="00392020">
      <w:pPr>
        <w:pStyle w:val="Title"/>
        <w:spacing w:line="276" w:lineRule="auto"/>
        <w:rPr>
          <w:rFonts w:asciiTheme="minorHAnsi" w:hAnsiTheme="minorHAnsi"/>
          <w:sz w:val="28"/>
          <w:szCs w:val="28"/>
        </w:rPr>
      </w:pPr>
      <w:r w:rsidRPr="00392020">
        <w:rPr>
          <w:rFonts w:asciiTheme="minorHAnsi" w:hAnsiTheme="minorHAnsi"/>
          <w:sz w:val="20"/>
          <w:szCs w:val="20"/>
        </w:rPr>
        <w:br w:type="page"/>
      </w:r>
      <w:bookmarkStart w:id="89" w:name="_Toc507416364"/>
      <w:r w:rsidRPr="00392020">
        <w:rPr>
          <w:rFonts w:asciiTheme="minorHAnsi" w:hAnsiTheme="minorHAnsi"/>
          <w:sz w:val="28"/>
          <w:szCs w:val="28"/>
        </w:rPr>
        <w:lastRenderedPageBreak/>
        <w:t>Appendix “C” Delegated Credit Limits and C</w:t>
      </w:r>
      <w:r w:rsidR="00026276" w:rsidRPr="00392020">
        <w:rPr>
          <w:rFonts w:asciiTheme="minorHAnsi" w:hAnsiTheme="minorHAnsi"/>
          <w:sz w:val="28"/>
          <w:szCs w:val="28"/>
        </w:rPr>
        <w:t>onditions</w:t>
      </w:r>
      <w:bookmarkEnd w:id="89"/>
    </w:p>
    <w:p w14:paraId="63A1275F" w14:textId="77777777" w:rsidR="00C54826" w:rsidRPr="00392020" w:rsidRDefault="00C54826" w:rsidP="00392020">
      <w:pPr>
        <w:spacing w:line="276" w:lineRule="auto"/>
        <w:rPr>
          <w:rFonts w:asciiTheme="minorHAnsi" w:hAnsiTheme="minorHAnsi"/>
          <w:sz w:val="28"/>
          <w:szCs w:val="28"/>
        </w:rPr>
      </w:pPr>
    </w:p>
    <w:p w14:paraId="38705595" w14:textId="77777777" w:rsidR="00026276" w:rsidRPr="00392020" w:rsidRDefault="00C54826" w:rsidP="00392020">
      <w:pPr>
        <w:pStyle w:val="Title"/>
        <w:spacing w:line="276" w:lineRule="auto"/>
        <w:rPr>
          <w:rFonts w:asciiTheme="minorHAnsi" w:hAnsiTheme="minorHAnsi"/>
          <w:sz w:val="28"/>
          <w:szCs w:val="28"/>
        </w:rPr>
      </w:pPr>
      <w:r w:rsidRPr="00392020">
        <w:rPr>
          <w:rFonts w:asciiTheme="minorHAnsi" w:hAnsiTheme="minorHAnsi"/>
          <w:sz w:val="28"/>
          <w:szCs w:val="28"/>
        </w:rPr>
        <w:br w:type="page"/>
      </w:r>
      <w:bookmarkStart w:id="90" w:name="_Toc321901258"/>
      <w:bookmarkStart w:id="91" w:name="_Toc507416365"/>
      <w:r w:rsidR="00026276" w:rsidRPr="00392020">
        <w:rPr>
          <w:rFonts w:asciiTheme="minorHAnsi" w:hAnsiTheme="minorHAnsi"/>
          <w:sz w:val="28"/>
          <w:szCs w:val="28"/>
        </w:rPr>
        <w:lastRenderedPageBreak/>
        <w:t>Appendix “D” Board Risk Committee Terms of Reference</w:t>
      </w:r>
      <w:bookmarkEnd w:id="90"/>
      <w:bookmarkEnd w:id="91"/>
    </w:p>
    <w:p w14:paraId="48900873" w14:textId="77777777" w:rsidR="001A71AF" w:rsidRPr="00392020" w:rsidRDefault="001A71AF" w:rsidP="00392020">
      <w:pPr>
        <w:spacing w:line="276" w:lineRule="auto"/>
        <w:rPr>
          <w:rFonts w:asciiTheme="minorHAnsi" w:hAnsiTheme="minorHAnsi"/>
          <w:sz w:val="28"/>
          <w:szCs w:val="28"/>
        </w:rPr>
      </w:pPr>
    </w:p>
    <w:p w14:paraId="58A0FD04" w14:textId="77777777" w:rsidR="009C45B7" w:rsidRDefault="001A71AF" w:rsidP="00392020">
      <w:pPr>
        <w:spacing w:line="276" w:lineRule="auto"/>
        <w:rPr>
          <w:rFonts w:asciiTheme="minorHAnsi" w:hAnsiTheme="minorHAnsi"/>
          <w:i/>
          <w:szCs w:val="22"/>
        </w:rPr>
      </w:pPr>
      <w:r w:rsidRPr="009C45B7">
        <w:rPr>
          <w:rFonts w:asciiTheme="minorHAnsi" w:hAnsiTheme="minorHAnsi"/>
          <w:i/>
          <w:szCs w:val="22"/>
        </w:rPr>
        <w:t xml:space="preserve">Note: Board committee terms of reference are included in the policy section of the Governance Manual. A </w:t>
      </w:r>
      <w:r w:rsidRPr="009C45B7">
        <w:rPr>
          <w:rFonts w:asciiTheme="minorHAnsi" w:hAnsiTheme="minorHAnsi"/>
          <w:b/>
          <w:i/>
          <w:szCs w:val="22"/>
        </w:rPr>
        <w:t>copy</w:t>
      </w:r>
      <w:r w:rsidRPr="009C45B7">
        <w:rPr>
          <w:rFonts w:asciiTheme="minorHAnsi" w:hAnsiTheme="minorHAnsi"/>
          <w:i/>
          <w:szCs w:val="22"/>
        </w:rPr>
        <w:t xml:space="preserve"> of the terms of reference may be placed at this point to emphasise the committee’s direct link to the Credit Risk Management </w:t>
      </w:r>
      <w:r w:rsidR="00D935A8" w:rsidRPr="009C45B7">
        <w:rPr>
          <w:rFonts w:asciiTheme="minorHAnsi" w:hAnsiTheme="minorHAnsi"/>
          <w:i/>
          <w:szCs w:val="22"/>
        </w:rPr>
        <w:t xml:space="preserve">Policy. </w:t>
      </w:r>
      <w:r w:rsidRPr="009C45B7">
        <w:rPr>
          <w:rFonts w:asciiTheme="minorHAnsi" w:hAnsiTheme="minorHAnsi"/>
          <w:i/>
          <w:szCs w:val="22"/>
        </w:rPr>
        <w:t>(If attached, please ensure the copy reflects the current terms of reference).</w:t>
      </w:r>
    </w:p>
    <w:p w14:paraId="3317691B" w14:textId="77777777" w:rsidR="00026276" w:rsidRPr="009C45B7" w:rsidRDefault="001A71AF" w:rsidP="00392020">
      <w:pPr>
        <w:spacing w:line="276" w:lineRule="auto"/>
        <w:rPr>
          <w:rFonts w:asciiTheme="minorHAnsi" w:hAnsiTheme="minorHAnsi"/>
          <w:i/>
          <w:szCs w:val="22"/>
        </w:rPr>
      </w:pPr>
      <w:r w:rsidRPr="009C45B7">
        <w:rPr>
          <w:rFonts w:asciiTheme="minorHAnsi" w:hAnsiTheme="minorHAnsi"/>
          <w:i/>
          <w:szCs w:val="22"/>
        </w:rPr>
        <w:t xml:space="preserve"> </w:t>
      </w:r>
      <w:r w:rsidR="00C54826" w:rsidRPr="009C45B7">
        <w:rPr>
          <w:rFonts w:asciiTheme="minorHAnsi" w:hAnsiTheme="minorHAnsi"/>
          <w:i/>
          <w:szCs w:val="22"/>
        </w:rPr>
        <w:br w:type="page"/>
      </w:r>
    </w:p>
    <w:p w14:paraId="242804CE" w14:textId="77777777" w:rsidR="00026276" w:rsidRPr="00392020" w:rsidRDefault="00026276" w:rsidP="00392020">
      <w:pPr>
        <w:pStyle w:val="Title"/>
        <w:spacing w:line="276" w:lineRule="auto"/>
        <w:rPr>
          <w:rFonts w:asciiTheme="minorHAnsi" w:hAnsiTheme="minorHAnsi"/>
          <w:sz w:val="28"/>
          <w:szCs w:val="28"/>
        </w:rPr>
      </w:pPr>
      <w:bookmarkStart w:id="92" w:name="_Toc321901259"/>
      <w:bookmarkStart w:id="93" w:name="_Toc507416366"/>
      <w:r w:rsidRPr="00392020">
        <w:rPr>
          <w:rFonts w:asciiTheme="minorHAnsi" w:hAnsiTheme="minorHAnsi"/>
          <w:sz w:val="28"/>
          <w:szCs w:val="28"/>
        </w:rPr>
        <w:lastRenderedPageBreak/>
        <w:t>Appendix “E” Management Credit Committee Terms of Reference</w:t>
      </w:r>
      <w:bookmarkEnd w:id="92"/>
      <w:bookmarkEnd w:id="93"/>
    </w:p>
    <w:p w14:paraId="2E4D1E11" w14:textId="77777777" w:rsidR="00026276" w:rsidRPr="00392020" w:rsidRDefault="00026276" w:rsidP="00392020">
      <w:pPr>
        <w:spacing w:line="276" w:lineRule="auto"/>
        <w:rPr>
          <w:rFonts w:asciiTheme="minorHAnsi" w:hAnsiTheme="minorHAnsi"/>
          <w:sz w:val="28"/>
          <w:szCs w:val="28"/>
        </w:rPr>
      </w:pPr>
    </w:p>
    <w:sectPr w:rsidR="00026276" w:rsidRPr="00392020" w:rsidSect="009C45B7">
      <w:headerReference w:type="default" r:id="rId12"/>
      <w:footerReference w:type="default" r:id="rId13"/>
      <w:headerReference w:type="first" r:id="rId14"/>
      <w:pgSz w:w="12240" w:h="15840" w:code="1"/>
      <w:pgMar w:top="1152" w:right="1181" w:bottom="1152" w:left="1282" w:header="720" w:footer="5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1C72" w14:textId="77777777" w:rsidR="009D42CC" w:rsidRDefault="009D42CC" w:rsidP="00EB6A04">
      <w:r>
        <w:separator/>
      </w:r>
    </w:p>
  </w:endnote>
  <w:endnote w:type="continuationSeparator" w:id="0">
    <w:p w14:paraId="714E0898" w14:textId="77777777" w:rsidR="009D42CC" w:rsidRDefault="009D42CC" w:rsidP="00EB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55FC" w14:textId="081D8215" w:rsidR="009D42CC" w:rsidRPr="00CE1B3E" w:rsidRDefault="009D42CC" w:rsidP="00CE1B3E">
    <w:pPr>
      <w:pStyle w:val="Footer"/>
      <w:pBdr>
        <w:top w:val="single" w:sz="4" w:space="1" w:color="D9D9D9"/>
      </w:pBdr>
      <w:rPr>
        <w:sz w:val="16"/>
        <w:szCs w:val="16"/>
      </w:rPr>
    </w:pPr>
    <w:r w:rsidRPr="00392020">
      <w:rPr>
        <w:sz w:val="16"/>
        <w:szCs w:val="16"/>
      </w:rPr>
      <w:fldChar w:fldCharType="begin"/>
    </w:r>
    <w:r w:rsidRPr="00392020">
      <w:rPr>
        <w:sz w:val="16"/>
        <w:szCs w:val="16"/>
      </w:rPr>
      <w:instrText xml:space="preserve"> MACROBUTTON  AcceptAllChangesInDoc "Credit Union Name" </w:instrText>
    </w:r>
    <w:r w:rsidRPr="00392020">
      <w:rPr>
        <w:sz w:val="16"/>
        <w:szCs w:val="16"/>
      </w:rPr>
      <w:fldChar w:fldCharType="end"/>
    </w:r>
    <w:r w:rsidRPr="00392020">
      <w:rPr>
        <w:sz w:val="16"/>
        <w:szCs w:val="16"/>
      </w:rPr>
      <w:t xml:space="preserve"> Credit Risk Management Policy</w:t>
    </w:r>
    <w:r w:rsidRPr="00392020">
      <w:rPr>
        <w:sz w:val="16"/>
        <w:szCs w:val="16"/>
      </w:rPr>
      <w:tab/>
      <w:t xml:space="preserve">----------- </w:t>
    </w:r>
    <w:r w:rsidRPr="00392020">
      <w:rPr>
        <w:sz w:val="16"/>
        <w:szCs w:val="16"/>
      </w:rPr>
      <w:fldChar w:fldCharType="begin"/>
    </w:r>
    <w:r w:rsidRPr="00392020">
      <w:rPr>
        <w:sz w:val="16"/>
        <w:szCs w:val="16"/>
      </w:rPr>
      <w:instrText xml:space="preserve"> MACROBUTTON  AcceptAllChangesInDoc "Policy Date" </w:instrText>
    </w:r>
    <w:r w:rsidRPr="00392020">
      <w:rPr>
        <w:sz w:val="16"/>
        <w:szCs w:val="16"/>
      </w:rPr>
      <w:fldChar w:fldCharType="end"/>
    </w:r>
    <w:r w:rsidRPr="00392020">
      <w:rPr>
        <w:sz w:val="16"/>
        <w:szCs w:val="16"/>
      </w:rPr>
      <w:tab/>
    </w:r>
    <w:r w:rsidRPr="00392020">
      <w:rPr>
        <w:color w:val="7F7F7F"/>
        <w:spacing w:val="60"/>
        <w:sz w:val="16"/>
        <w:szCs w:val="16"/>
      </w:rPr>
      <w:t>Page</w:t>
    </w:r>
    <w:r w:rsidRPr="00392020">
      <w:rPr>
        <w:sz w:val="16"/>
        <w:szCs w:val="16"/>
      </w:rPr>
      <w:t xml:space="preserve"> | </w:t>
    </w:r>
    <w:r w:rsidRPr="00392020">
      <w:rPr>
        <w:sz w:val="16"/>
        <w:szCs w:val="16"/>
      </w:rPr>
      <w:fldChar w:fldCharType="begin"/>
    </w:r>
    <w:r w:rsidRPr="00392020">
      <w:rPr>
        <w:sz w:val="16"/>
        <w:szCs w:val="16"/>
      </w:rPr>
      <w:instrText xml:space="preserve"> PAGE   \* MERGEFORMAT </w:instrText>
    </w:r>
    <w:r w:rsidRPr="00392020">
      <w:rPr>
        <w:sz w:val="16"/>
        <w:szCs w:val="16"/>
      </w:rPr>
      <w:fldChar w:fldCharType="separate"/>
    </w:r>
    <w:r w:rsidR="003920A5" w:rsidRPr="003920A5">
      <w:rPr>
        <w:b/>
        <w:noProof/>
        <w:sz w:val="16"/>
        <w:szCs w:val="16"/>
      </w:rPr>
      <w:t>4</w:t>
    </w:r>
    <w:r w:rsidRPr="0039202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8297" w14:textId="77777777" w:rsidR="009D42CC" w:rsidRDefault="009D42CC" w:rsidP="00EB6A04">
      <w:r>
        <w:separator/>
      </w:r>
    </w:p>
  </w:footnote>
  <w:footnote w:type="continuationSeparator" w:id="0">
    <w:p w14:paraId="16A7CAA7" w14:textId="77777777" w:rsidR="009D42CC" w:rsidRDefault="009D42CC" w:rsidP="00EB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B106" w14:textId="77777777" w:rsidR="009D42CC" w:rsidRPr="00392020" w:rsidRDefault="009D42CC" w:rsidP="00E338D5">
    <w:pPr>
      <w:spacing w:after="120"/>
      <w:jc w:val="center"/>
      <w:rPr>
        <w:rFonts w:asciiTheme="minorHAnsi" w:hAnsiTheme="minorHAnsi"/>
        <w:b/>
        <w:i/>
        <w:sz w:val="28"/>
        <w:szCs w:val="28"/>
      </w:rPr>
    </w:pPr>
    <w:r w:rsidRPr="00392020">
      <w:rPr>
        <w:rFonts w:asciiTheme="minorHAnsi" w:hAnsiTheme="minorHAnsi"/>
        <w:b/>
        <w:i/>
        <w:sz w:val="28"/>
        <w:szCs w:val="28"/>
      </w:rPr>
      <w:t>Board Credit Risk Management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9706" w14:textId="77777777" w:rsidR="009D42CC" w:rsidRPr="00392020" w:rsidRDefault="009D42CC">
    <w:pPr>
      <w:pStyle w:val="Header"/>
      <w:rPr>
        <w:rFonts w:asciiTheme="minorHAnsi" w:hAnsiTheme="minorHAnsi"/>
      </w:rPr>
    </w:pPr>
    <w:r w:rsidRPr="00392020">
      <w:rPr>
        <w:rFonts w:asciiTheme="minorHAnsi" w:hAnsiTheme="minorHAnsi"/>
      </w:rPr>
      <w:fldChar w:fldCharType="begin"/>
    </w:r>
    <w:r w:rsidRPr="00392020">
      <w:rPr>
        <w:rFonts w:asciiTheme="minorHAnsi" w:hAnsiTheme="minorHAnsi"/>
      </w:rPr>
      <w:instrText xml:space="preserve"> MACROBUTTON  AcceptAllChangesInDoc "Insert CU LOGO" </w:instrText>
    </w:r>
    <w:r w:rsidRPr="00392020">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CB1"/>
    <w:multiLevelType w:val="multilevel"/>
    <w:tmpl w:val="73F04DB8"/>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4B0C"/>
    <w:multiLevelType w:val="hybridMultilevel"/>
    <w:tmpl w:val="7DB2A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32722"/>
    <w:multiLevelType w:val="hybridMultilevel"/>
    <w:tmpl w:val="13E21BFC"/>
    <w:lvl w:ilvl="0" w:tplc="10090017">
      <w:start w:val="1"/>
      <w:numFmt w:val="lowerLetter"/>
      <w:lvlText w:val="%1)"/>
      <w:lvlJc w:val="left"/>
      <w:pPr>
        <w:ind w:left="2850" w:hanging="360"/>
      </w:pPr>
      <w:rPr>
        <w:rFonts w:hint="default"/>
      </w:rPr>
    </w:lvl>
    <w:lvl w:ilvl="1" w:tplc="10090019" w:tentative="1">
      <w:start w:val="1"/>
      <w:numFmt w:val="lowerLetter"/>
      <w:lvlText w:val="%2."/>
      <w:lvlJc w:val="left"/>
      <w:pPr>
        <w:ind w:left="3570" w:hanging="360"/>
      </w:pPr>
    </w:lvl>
    <w:lvl w:ilvl="2" w:tplc="1009001B" w:tentative="1">
      <w:start w:val="1"/>
      <w:numFmt w:val="lowerRoman"/>
      <w:lvlText w:val="%3."/>
      <w:lvlJc w:val="right"/>
      <w:pPr>
        <w:ind w:left="4290" w:hanging="180"/>
      </w:pPr>
    </w:lvl>
    <w:lvl w:ilvl="3" w:tplc="1009000F" w:tentative="1">
      <w:start w:val="1"/>
      <w:numFmt w:val="decimal"/>
      <w:lvlText w:val="%4."/>
      <w:lvlJc w:val="left"/>
      <w:pPr>
        <w:ind w:left="5010" w:hanging="360"/>
      </w:pPr>
    </w:lvl>
    <w:lvl w:ilvl="4" w:tplc="10090019" w:tentative="1">
      <w:start w:val="1"/>
      <w:numFmt w:val="lowerLetter"/>
      <w:lvlText w:val="%5."/>
      <w:lvlJc w:val="left"/>
      <w:pPr>
        <w:ind w:left="5730" w:hanging="360"/>
      </w:pPr>
    </w:lvl>
    <w:lvl w:ilvl="5" w:tplc="1009001B" w:tentative="1">
      <w:start w:val="1"/>
      <w:numFmt w:val="lowerRoman"/>
      <w:lvlText w:val="%6."/>
      <w:lvlJc w:val="right"/>
      <w:pPr>
        <w:ind w:left="6450" w:hanging="180"/>
      </w:pPr>
    </w:lvl>
    <w:lvl w:ilvl="6" w:tplc="1009000F" w:tentative="1">
      <w:start w:val="1"/>
      <w:numFmt w:val="decimal"/>
      <w:lvlText w:val="%7."/>
      <w:lvlJc w:val="left"/>
      <w:pPr>
        <w:ind w:left="7170" w:hanging="360"/>
      </w:pPr>
    </w:lvl>
    <w:lvl w:ilvl="7" w:tplc="10090019" w:tentative="1">
      <w:start w:val="1"/>
      <w:numFmt w:val="lowerLetter"/>
      <w:lvlText w:val="%8."/>
      <w:lvlJc w:val="left"/>
      <w:pPr>
        <w:ind w:left="7890" w:hanging="360"/>
      </w:pPr>
    </w:lvl>
    <w:lvl w:ilvl="8" w:tplc="1009001B" w:tentative="1">
      <w:start w:val="1"/>
      <w:numFmt w:val="lowerRoman"/>
      <w:lvlText w:val="%9."/>
      <w:lvlJc w:val="right"/>
      <w:pPr>
        <w:ind w:left="8610" w:hanging="180"/>
      </w:pPr>
    </w:lvl>
  </w:abstractNum>
  <w:abstractNum w:abstractNumId="3" w15:restartNumberingAfterBreak="0">
    <w:nsid w:val="07AC09F1"/>
    <w:multiLevelType w:val="hybridMultilevel"/>
    <w:tmpl w:val="930838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71B18"/>
    <w:multiLevelType w:val="hybridMultilevel"/>
    <w:tmpl w:val="23D89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56120"/>
    <w:multiLevelType w:val="hybridMultilevel"/>
    <w:tmpl w:val="85C69D1C"/>
    <w:lvl w:ilvl="0" w:tplc="10090001">
      <w:start w:val="1"/>
      <w:numFmt w:val="bullet"/>
      <w:lvlText w:val=""/>
      <w:lvlJc w:val="left"/>
      <w:pPr>
        <w:ind w:left="87" w:hanging="360"/>
      </w:pPr>
      <w:rPr>
        <w:rFonts w:ascii="Symbol" w:hAnsi="Symbol" w:hint="default"/>
      </w:rPr>
    </w:lvl>
    <w:lvl w:ilvl="1" w:tplc="10090003">
      <w:start w:val="1"/>
      <w:numFmt w:val="bullet"/>
      <w:lvlText w:val="o"/>
      <w:lvlJc w:val="left"/>
      <w:pPr>
        <w:ind w:left="807" w:hanging="360"/>
      </w:pPr>
      <w:rPr>
        <w:rFonts w:ascii="Courier New" w:hAnsi="Courier New" w:cs="Courier New" w:hint="default"/>
      </w:rPr>
    </w:lvl>
    <w:lvl w:ilvl="2" w:tplc="10090005" w:tentative="1">
      <w:start w:val="1"/>
      <w:numFmt w:val="bullet"/>
      <w:lvlText w:val=""/>
      <w:lvlJc w:val="left"/>
      <w:pPr>
        <w:ind w:left="1527" w:hanging="360"/>
      </w:pPr>
      <w:rPr>
        <w:rFonts w:ascii="Wingdings" w:hAnsi="Wingdings" w:hint="default"/>
      </w:rPr>
    </w:lvl>
    <w:lvl w:ilvl="3" w:tplc="10090001" w:tentative="1">
      <w:start w:val="1"/>
      <w:numFmt w:val="bullet"/>
      <w:lvlText w:val=""/>
      <w:lvlJc w:val="left"/>
      <w:pPr>
        <w:ind w:left="2247" w:hanging="360"/>
      </w:pPr>
      <w:rPr>
        <w:rFonts w:ascii="Symbol" w:hAnsi="Symbol" w:hint="default"/>
      </w:rPr>
    </w:lvl>
    <w:lvl w:ilvl="4" w:tplc="10090003" w:tentative="1">
      <w:start w:val="1"/>
      <w:numFmt w:val="bullet"/>
      <w:lvlText w:val="o"/>
      <w:lvlJc w:val="left"/>
      <w:pPr>
        <w:ind w:left="2967" w:hanging="360"/>
      </w:pPr>
      <w:rPr>
        <w:rFonts w:ascii="Courier New" w:hAnsi="Courier New" w:cs="Courier New" w:hint="default"/>
      </w:rPr>
    </w:lvl>
    <w:lvl w:ilvl="5" w:tplc="10090005" w:tentative="1">
      <w:start w:val="1"/>
      <w:numFmt w:val="bullet"/>
      <w:lvlText w:val=""/>
      <w:lvlJc w:val="left"/>
      <w:pPr>
        <w:ind w:left="3687" w:hanging="360"/>
      </w:pPr>
      <w:rPr>
        <w:rFonts w:ascii="Wingdings" w:hAnsi="Wingdings" w:hint="default"/>
      </w:rPr>
    </w:lvl>
    <w:lvl w:ilvl="6" w:tplc="10090001" w:tentative="1">
      <w:start w:val="1"/>
      <w:numFmt w:val="bullet"/>
      <w:lvlText w:val=""/>
      <w:lvlJc w:val="left"/>
      <w:pPr>
        <w:ind w:left="4407" w:hanging="360"/>
      </w:pPr>
      <w:rPr>
        <w:rFonts w:ascii="Symbol" w:hAnsi="Symbol" w:hint="default"/>
      </w:rPr>
    </w:lvl>
    <w:lvl w:ilvl="7" w:tplc="10090003" w:tentative="1">
      <w:start w:val="1"/>
      <w:numFmt w:val="bullet"/>
      <w:lvlText w:val="o"/>
      <w:lvlJc w:val="left"/>
      <w:pPr>
        <w:ind w:left="5127" w:hanging="360"/>
      </w:pPr>
      <w:rPr>
        <w:rFonts w:ascii="Courier New" w:hAnsi="Courier New" w:cs="Courier New" w:hint="default"/>
      </w:rPr>
    </w:lvl>
    <w:lvl w:ilvl="8" w:tplc="10090005" w:tentative="1">
      <w:start w:val="1"/>
      <w:numFmt w:val="bullet"/>
      <w:lvlText w:val=""/>
      <w:lvlJc w:val="left"/>
      <w:pPr>
        <w:ind w:left="5847" w:hanging="360"/>
      </w:pPr>
      <w:rPr>
        <w:rFonts w:ascii="Wingdings" w:hAnsi="Wingdings" w:hint="default"/>
      </w:rPr>
    </w:lvl>
  </w:abstractNum>
  <w:abstractNum w:abstractNumId="6" w15:restartNumberingAfterBreak="0">
    <w:nsid w:val="107514D6"/>
    <w:multiLevelType w:val="hybridMultilevel"/>
    <w:tmpl w:val="FD2AFB2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15:restartNumberingAfterBreak="0">
    <w:nsid w:val="25B260E4"/>
    <w:multiLevelType w:val="hybridMultilevel"/>
    <w:tmpl w:val="933CD5D2"/>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6125C8"/>
    <w:multiLevelType w:val="hybridMultilevel"/>
    <w:tmpl w:val="41BE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A3D89"/>
    <w:multiLevelType w:val="hybridMultilevel"/>
    <w:tmpl w:val="DA7666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810744"/>
    <w:multiLevelType w:val="hybridMultilevel"/>
    <w:tmpl w:val="C26A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4598C"/>
    <w:multiLevelType w:val="hybridMultilevel"/>
    <w:tmpl w:val="27FA1D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657C3F"/>
    <w:multiLevelType w:val="hybridMultilevel"/>
    <w:tmpl w:val="C2222672"/>
    <w:lvl w:ilvl="0" w:tplc="10090017">
      <w:start w:val="1"/>
      <w:numFmt w:val="lowerLetter"/>
      <w:lvlText w:val="%1)"/>
      <w:lvlJc w:val="left"/>
      <w:pPr>
        <w:ind w:left="720" w:hanging="360"/>
      </w:pPr>
      <w:rPr>
        <w:rFonts w:cs="Times New Roman"/>
      </w:rPr>
    </w:lvl>
    <w:lvl w:ilvl="1" w:tplc="10090019">
      <w:start w:val="1"/>
      <w:numFmt w:val="decimal"/>
      <w:lvlText w:val="%2."/>
      <w:lvlJc w:val="left"/>
      <w:pPr>
        <w:tabs>
          <w:tab w:val="num" w:pos="1800"/>
        </w:tabs>
        <w:ind w:left="1800" w:hanging="360"/>
      </w:pPr>
    </w:lvl>
    <w:lvl w:ilvl="2" w:tplc="1009001B">
      <w:start w:val="1"/>
      <w:numFmt w:val="decimal"/>
      <w:lvlText w:val="%3."/>
      <w:lvlJc w:val="left"/>
      <w:pPr>
        <w:tabs>
          <w:tab w:val="num" w:pos="2520"/>
        </w:tabs>
        <w:ind w:left="2520" w:hanging="360"/>
      </w:pPr>
    </w:lvl>
    <w:lvl w:ilvl="3" w:tplc="1009000F">
      <w:start w:val="1"/>
      <w:numFmt w:val="decimal"/>
      <w:lvlText w:val="%4."/>
      <w:lvlJc w:val="left"/>
      <w:pPr>
        <w:tabs>
          <w:tab w:val="num" w:pos="3240"/>
        </w:tabs>
        <w:ind w:left="3240" w:hanging="360"/>
      </w:pPr>
    </w:lvl>
    <w:lvl w:ilvl="4" w:tplc="10090019">
      <w:start w:val="1"/>
      <w:numFmt w:val="decimal"/>
      <w:lvlText w:val="%5."/>
      <w:lvlJc w:val="left"/>
      <w:pPr>
        <w:tabs>
          <w:tab w:val="num" w:pos="3960"/>
        </w:tabs>
        <w:ind w:left="3960" w:hanging="360"/>
      </w:pPr>
    </w:lvl>
    <w:lvl w:ilvl="5" w:tplc="1009001B">
      <w:start w:val="1"/>
      <w:numFmt w:val="decimal"/>
      <w:lvlText w:val="%6."/>
      <w:lvlJc w:val="left"/>
      <w:pPr>
        <w:tabs>
          <w:tab w:val="num" w:pos="4680"/>
        </w:tabs>
        <w:ind w:left="4680" w:hanging="360"/>
      </w:pPr>
    </w:lvl>
    <w:lvl w:ilvl="6" w:tplc="1009000F">
      <w:start w:val="1"/>
      <w:numFmt w:val="decimal"/>
      <w:lvlText w:val="%7."/>
      <w:lvlJc w:val="left"/>
      <w:pPr>
        <w:tabs>
          <w:tab w:val="num" w:pos="5400"/>
        </w:tabs>
        <w:ind w:left="5400" w:hanging="360"/>
      </w:pPr>
    </w:lvl>
    <w:lvl w:ilvl="7" w:tplc="10090019">
      <w:start w:val="1"/>
      <w:numFmt w:val="decimal"/>
      <w:lvlText w:val="%8."/>
      <w:lvlJc w:val="left"/>
      <w:pPr>
        <w:tabs>
          <w:tab w:val="num" w:pos="6120"/>
        </w:tabs>
        <w:ind w:left="6120" w:hanging="360"/>
      </w:pPr>
    </w:lvl>
    <w:lvl w:ilvl="8" w:tplc="1009001B">
      <w:start w:val="1"/>
      <w:numFmt w:val="decimal"/>
      <w:lvlText w:val="%9."/>
      <w:lvlJc w:val="left"/>
      <w:pPr>
        <w:tabs>
          <w:tab w:val="num" w:pos="6840"/>
        </w:tabs>
        <w:ind w:left="6840" w:hanging="360"/>
      </w:pPr>
    </w:lvl>
  </w:abstractNum>
  <w:abstractNum w:abstractNumId="13" w15:restartNumberingAfterBreak="0">
    <w:nsid w:val="3D0E7F2C"/>
    <w:multiLevelType w:val="hybridMultilevel"/>
    <w:tmpl w:val="53EE5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878E0"/>
    <w:multiLevelType w:val="hybridMultilevel"/>
    <w:tmpl w:val="13FC0F4A"/>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5" w15:restartNumberingAfterBreak="0">
    <w:nsid w:val="4EA12E9F"/>
    <w:multiLevelType w:val="hybridMultilevel"/>
    <w:tmpl w:val="A55A17F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DA4136"/>
    <w:multiLevelType w:val="hybridMultilevel"/>
    <w:tmpl w:val="DDF0E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A2E7063"/>
    <w:multiLevelType w:val="hybridMultilevel"/>
    <w:tmpl w:val="C82CC20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D1A0AAD"/>
    <w:multiLevelType w:val="hybridMultilevel"/>
    <w:tmpl w:val="2BFCAAF0"/>
    <w:lvl w:ilvl="0" w:tplc="2688B1E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D9E5247"/>
    <w:multiLevelType w:val="hybridMultilevel"/>
    <w:tmpl w:val="74E63C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5FC25D41"/>
    <w:multiLevelType w:val="hybridMultilevel"/>
    <w:tmpl w:val="A2B0C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A34CC9"/>
    <w:multiLevelType w:val="hybridMultilevel"/>
    <w:tmpl w:val="8AB004A2"/>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7882A9A"/>
    <w:multiLevelType w:val="hybridMultilevel"/>
    <w:tmpl w:val="1B4EE0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35149F"/>
    <w:multiLevelType w:val="hybridMultilevel"/>
    <w:tmpl w:val="9476D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7E1312"/>
    <w:multiLevelType w:val="hybridMultilevel"/>
    <w:tmpl w:val="A7B0768E"/>
    <w:lvl w:ilvl="0" w:tplc="0409000D">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FB36EF1"/>
    <w:multiLevelType w:val="hybridMultilevel"/>
    <w:tmpl w:val="D83A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A26B6"/>
    <w:multiLevelType w:val="hybridMultilevel"/>
    <w:tmpl w:val="A4725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8A27B1"/>
    <w:multiLevelType w:val="hybridMultilevel"/>
    <w:tmpl w:val="C86A24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53869"/>
    <w:multiLevelType w:val="hybridMultilevel"/>
    <w:tmpl w:val="F5B6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D03384"/>
    <w:multiLevelType w:val="hybridMultilevel"/>
    <w:tmpl w:val="2F42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3"/>
  </w:num>
  <w:num w:numId="5">
    <w:abstractNumId w:val="20"/>
  </w:num>
  <w:num w:numId="6">
    <w:abstractNumId w:val="17"/>
  </w:num>
  <w:num w:numId="7">
    <w:abstractNumId w:val="18"/>
  </w:num>
  <w:num w:numId="8">
    <w:abstractNumId w:val="13"/>
  </w:num>
  <w:num w:numId="9">
    <w:abstractNumId w:val="21"/>
  </w:num>
  <w:num w:numId="10">
    <w:abstractNumId w:val="15"/>
  </w:num>
  <w:num w:numId="11">
    <w:abstractNumId w:val="24"/>
  </w:num>
  <w:num w:numId="12">
    <w:abstractNumId w:val="7"/>
  </w:num>
  <w:num w:numId="13">
    <w:abstractNumId w:val="28"/>
  </w:num>
  <w:num w:numId="14">
    <w:abstractNumId w:val="10"/>
  </w:num>
  <w:num w:numId="15">
    <w:abstractNumId w:val="25"/>
  </w:num>
  <w:num w:numId="16">
    <w:abstractNumId w:val="22"/>
  </w:num>
  <w:num w:numId="17">
    <w:abstractNumId w:val="26"/>
  </w:num>
  <w:num w:numId="18">
    <w:abstractNumId w:val="11"/>
  </w:num>
  <w:num w:numId="19">
    <w:abstractNumId w:val="1"/>
  </w:num>
  <w:num w:numId="20">
    <w:abstractNumId w:val="4"/>
  </w:num>
  <w:num w:numId="21">
    <w:abstractNumId w:val="27"/>
  </w:num>
  <w:num w:numId="22">
    <w:abstractNumId w:val="2"/>
  </w:num>
  <w:num w:numId="23">
    <w:abstractNumId w:val="9"/>
  </w:num>
  <w:num w:numId="24">
    <w:abstractNumId w:val="16"/>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27"/>
    <w:rsid w:val="0001156E"/>
    <w:rsid w:val="00014539"/>
    <w:rsid w:val="00022B1F"/>
    <w:rsid w:val="000240DF"/>
    <w:rsid w:val="00026276"/>
    <w:rsid w:val="00033A28"/>
    <w:rsid w:val="0003644A"/>
    <w:rsid w:val="00037920"/>
    <w:rsid w:val="00044D6E"/>
    <w:rsid w:val="00044E58"/>
    <w:rsid w:val="00053F73"/>
    <w:rsid w:val="00061B37"/>
    <w:rsid w:val="000705D5"/>
    <w:rsid w:val="000735D1"/>
    <w:rsid w:val="00074253"/>
    <w:rsid w:val="000842AB"/>
    <w:rsid w:val="000859A6"/>
    <w:rsid w:val="00086E41"/>
    <w:rsid w:val="0009143C"/>
    <w:rsid w:val="00091752"/>
    <w:rsid w:val="00095602"/>
    <w:rsid w:val="000A4865"/>
    <w:rsid w:val="000C65BE"/>
    <w:rsid w:val="000D0381"/>
    <w:rsid w:val="000D0E6E"/>
    <w:rsid w:val="000D2508"/>
    <w:rsid w:val="000E0B6C"/>
    <w:rsid w:val="000E730D"/>
    <w:rsid w:val="000F2E77"/>
    <w:rsid w:val="000F5EEB"/>
    <w:rsid w:val="00102BBA"/>
    <w:rsid w:val="00105E95"/>
    <w:rsid w:val="00114FA8"/>
    <w:rsid w:val="001166C6"/>
    <w:rsid w:val="00134B03"/>
    <w:rsid w:val="00134FB1"/>
    <w:rsid w:val="00147163"/>
    <w:rsid w:val="00147211"/>
    <w:rsid w:val="00147968"/>
    <w:rsid w:val="00152B87"/>
    <w:rsid w:val="00156952"/>
    <w:rsid w:val="00165793"/>
    <w:rsid w:val="001735A1"/>
    <w:rsid w:val="0017607B"/>
    <w:rsid w:val="00181DF3"/>
    <w:rsid w:val="00191560"/>
    <w:rsid w:val="001A3F2E"/>
    <w:rsid w:val="001A42CC"/>
    <w:rsid w:val="001A71AF"/>
    <w:rsid w:val="001B27EB"/>
    <w:rsid w:val="001B39AD"/>
    <w:rsid w:val="001C0161"/>
    <w:rsid w:val="001C35F6"/>
    <w:rsid w:val="001D0645"/>
    <w:rsid w:val="001D5ADA"/>
    <w:rsid w:val="001E1EB5"/>
    <w:rsid w:val="001E4990"/>
    <w:rsid w:val="001E5026"/>
    <w:rsid w:val="001E6A75"/>
    <w:rsid w:val="001F523F"/>
    <w:rsid w:val="001F5C26"/>
    <w:rsid w:val="001F6B03"/>
    <w:rsid w:val="002023B8"/>
    <w:rsid w:val="00206931"/>
    <w:rsid w:val="00207446"/>
    <w:rsid w:val="0021097D"/>
    <w:rsid w:val="002152EB"/>
    <w:rsid w:val="0022354A"/>
    <w:rsid w:val="0022444F"/>
    <w:rsid w:val="00224E16"/>
    <w:rsid w:val="002474E8"/>
    <w:rsid w:val="00255F11"/>
    <w:rsid w:val="002575B7"/>
    <w:rsid w:val="002747D8"/>
    <w:rsid w:val="00275503"/>
    <w:rsid w:val="00290FD7"/>
    <w:rsid w:val="002911EF"/>
    <w:rsid w:val="002C1C98"/>
    <w:rsid w:val="002C4CC4"/>
    <w:rsid w:val="002D16C8"/>
    <w:rsid w:val="002D6351"/>
    <w:rsid w:val="002E2803"/>
    <w:rsid w:val="002F003D"/>
    <w:rsid w:val="002F4293"/>
    <w:rsid w:val="002F6274"/>
    <w:rsid w:val="002F69A4"/>
    <w:rsid w:val="002F710E"/>
    <w:rsid w:val="003225CD"/>
    <w:rsid w:val="00332F35"/>
    <w:rsid w:val="0033472F"/>
    <w:rsid w:val="00334F1C"/>
    <w:rsid w:val="00343A85"/>
    <w:rsid w:val="003548F0"/>
    <w:rsid w:val="00355463"/>
    <w:rsid w:val="00363831"/>
    <w:rsid w:val="0036653F"/>
    <w:rsid w:val="00384DBF"/>
    <w:rsid w:val="003860C7"/>
    <w:rsid w:val="00392020"/>
    <w:rsid w:val="003920A5"/>
    <w:rsid w:val="00396D18"/>
    <w:rsid w:val="003B0D33"/>
    <w:rsid w:val="003B73DC"/>
    <w:rsid w:val="003C2A99"/>
    <w:rsid w:val="003C3D37"/>
    <w:rsid w:val="003E3D8E"/>
    <w:rsid w:val="003F1D44"/>
    <w:rsid w:val="004062E1"/>
    <w:rsid w:val="004146F0"/>
    <w:rsid w:val="00415242"/>
    <w:rsid w:val="00415F2B"/>
    <w:rsid w:val="00416C1D"/>
    <w:rsid w:val="00420AFB"/>
    <w:rsid w:val="00423175"/>
    <w:rsid w:val="00424129"/>
    <w:rsid w:val="00433148"/>
    <w:rsid w:val="004421F0"/>
    <w:rsid w:val="0045046C"/>
    <w:rsid w:val="00450E73"/>
    <w:rsid w:val="004534D7"/>
    <w:rsid w:val="00456AFB"/>
    <w:rsid w:val="0045758B"/>
    <w:rsid w:val="00460C27"/>
    <w:rsid w:val="00463FF3"/>
    <w:rsid w:val="004645DA"/>
    <w:rsid w:val="00465AC2"/>
    <w:rsid w:val="00484E58"/>
    <w:rsid w:val="00495507"/>
    <w:rsid w:val="004C2B00"/>
    <w:rsid w:val="004C4518"/>
    <w:rsid w:val="004C72EF"/>
    <w:rsid w:val="004D01A8"/>
    <w:rsid w:val="004D57BD"/>
    <w:rsid w:val="004E648C"/>
    <w:rsid w:val="004F1171"/>
    <w:rsid w:val="004F2163"/>
    <w:rsid w:val="004F410A"/>
    <w:rsid w:val="004F56EE"/>
    <w:rsid w:val="00504E81"/>
    <w:rsid w:val="0050545B"/>
    <w:rsid w:val="00527A63"/>
    <w:rsid w:val="00530077"/>
    <w:rsid w:val="00531FA1"/>
    <w:rsid w:val="0053683B"/>
    <w:rsid w:val="00536C32"/>
    <w:rsid w:val="00544714"/>
    <w:rsid w:val="005452FB"/>
    <w:rsid w:val="005467AA"/>
    <w:rsid w:val="00551EBF"/>
    <w:rsid w:val="00570300"/>
    <w:rsid w:val="00571845"/>
    <w:rsid w:val="00580562"/>
    <w:rsid w:val="0058352B"/>
    <w:rsid w:val="00591393"/>
    <w:rsid w:val="005922AF"/>
    <w:rsid w:val="00593E1A"/>
    <w:rsid w:val="005959A3"/>
    <w:rsid w:val="00596719"/>
    <w:rsid w:val="005975CE"/>
    <w:rsid w:val="00597F4B"/>
    <w:rsid w:val="005B4AFF"/>
    <w:rsid w:val="005B4F4E"/>
    <w:rsid w:val="005C3501"/>
    <w:rsid w:val="005D1776"/>
    <w:rsid w:val="005D2EE5"/>
    <w:rsid w:val="005D4E60"/>
    <w:rsid w:val="005E1F4C"/>
    <w:rsid w:val="005F63ED"/>
    <w:rsid w:val="00600FAF"/>
    <w:rsid w:val="00601CE1"/>
    <w:rsid w:val="00605343"/>
    <w:rsid w:val="00606FA2"/>
    <w:rsid w:val="00607898"/>
    <w:rsid w:val="00612EF6"/>
    <w:rsid w:val="0061486E"/>
    <w:rsid w:val="0062335A"/>
    <w:rsid w:val="00623A0F"/>
    <w:rsid w:val="006257C5"/>
    <w:rsid w:val="00633B86"/>
    <w:rsid w:val="00635796"/>
    <w:rsid w:val="00636B74"/>
    <w:rsid w:val="00650E56"/>
    <w:rsid w:val="006538DB"/>
    <w:rsid w:val="0065511F"/>
    <w:rsid w:val="00667A04"/>
    <w:rsid w:val="00673678"/>
    <w:rsid w:val="00681529"/>
    <w:rsid w:val="00683CD9"/>
    <w:rsid w:val="006A456F"/>
    <w:rsid w:val="006A4FB8"/>
    <w:rsid w:val="006A5785"/>
    <w:rsid w:val="006A751B"/>
    <w:rsid w:val="006B598E"/>
    <w:rsid w:val="006B7A80"/>
    <w:rsid w:val="006C34F3"/>
    <w:rsid w:val="006D5A06"/>
    <w:rsid w:val="006D623C"/>
    <w:rsid w:val="006E1730"/>
    <w:rsid w:val="006E3C5C"/>
    <w:rsid w:val="006F6D32"/>
    <w:rsid w:val="00702DA1"/>
    <w:rsid w:val="00705782"/>
    <w:rsid w:val="00711363"/>
    <w:rsid w:val="0072361F"/>
    <w:rsid w:val="00723BBB"/>
    <w:rsid w:val="00751A01"/>
    <w:rsid w:val="007774F3"/>
    <w:rsid w:val="0078288B"/>
    <w:rsid w:val="007828C7"/>
    <w:rsid w:val="00783090"/>
    <w:rsid w:val="00793B30"/>
    <w:rsid w:val="007A0833"/>
    <w:rsid w:val="007A6B7E"/>
    <w:rsid w:val="007B2CD7"/>
    <w:rsid w:val="007B7530"/>
    <w:rsid w:val="007C3E5D"/>
    <w:rsid w:val="007C473B"/>
    <w:rsid w:val="007D1057"/>
    <w:rsid w:val="007D26DE"/>
    <w:rsid w:val="007F7BAD"/>
    <w:rsid w:val="00802544"/>
    <w:rsid w:val="0080565D"/>
    <w:rsid w:val="00810986"/>
    <w:rsid w:val="00813C15"/>
    <w:rsid w:val="00825637"/>
    <w:rsid w:val="00833A4A"/>
    <w:rsid w:val="00834D27"/>
    <w:rsid w:val="00862079"/>
    <w:rsid w:val="0087328D"/>
    <w:rsid w:val="008755AE"/>
    <w:rsid w:val="0088206F"/>
    <w:rsid w:val="008954E4"/>
    <w:rsid w:val="008A1705"/>
    <w:rsid w:val="008A2224"/>
    <w:rsid w:val="008A2EE2"/>
    <w:rsid w:val="008A7C35"/>
    <w:rsid w:val="008B6808"/>
    <w:rsid w:val="008C0694"/>
    <w:rsid w:val="008D2544"/>
    <w:rsid w:val="008E0BF2"/>
    <w:rsid w:val="008E142C"/>
    <w:rsid w:val="008F2330"/>
    <w:rsid w:val="00905FA9"/>
    <w:rsid w:val="0092360D"/>
    <w:rsid w:val="00937CB2"/>
    <w:rsid w:val="00943F5E"/>
    <w:rsid w:val="00946CC8"/>
    <w:rsid w:val="00947CCE"/>
    <w:rsid w:val="00981626"/>
    <w:rsid w:val="009942ED"/>
    <w:rsid w:val="00995FFF"/>
    <w:rsid w:val="00996271"/>
    <w:rsid w:val="009B467C"/>
    <w:rsid w:val="009B517E"/>
    <w:rsid w:val="009B6727"/>
    <w:rsid w:val="009B676D"/>
    <w:rsid w:val="009C45B7"/>
    <w:rsid w:val="009C7207"/>
    <w:rsid w:val="009D0068"/>
    <w:rsid w:val="009D0D1B"/>
    <w:rsid w:val="009D42CC"/>
    <w:rsid w:val="00A01E0B"/>
    <w:rsid w:val="00A10FB3"/>
    <w:rsid w:val="00A126AA"/>
    <w:rsid w:val="00A14738"/>
    <w:rsid w:val="00A15478"/>
    <w:rsid w:val="00A15C9D"/>
    <w:rsid w:val="00A22F7E"/>
    <w:rsid w:val="00A23E44"/>
    <w:rsid w:val="00A317FD"/>
    <w:rsid w:val="00A3658B"/>
    <w:rsid w:val="00A46AD3"/>
    <w:rsid w:val="00A57AF7"/>
    <w:rsid w:val="00A65774"/>
    <w:rsid w:val="00A65E9F"/>
    <w:rsid w:val="00A73665"/>
    <w:rsid w:val="00A94682"/>
    <w:rsid w:val="00A97C3C"/>
    <w:rsid w:val="00AA0B3C"/>
    <w:rsid w:val="00AA5A56"/>
    <w:rsid w:val="00AB4E48"/>
    <w:rsid w:val="00AB647F"/>
    <w:rsid w:val="00AE0FF8"/>
    <w:rsid w:val="00AE1BA2"/>
    <w:rsid w:val="00AF4885"/>
    <w:rsid w:val="00B027C5"/>
    <w:rsid w:val="00B04D1A"/>
    <w:rsid w:val="00B105E9"/>
    <w:rsid w:val="00B205CD"/>
    <w:rsid w:val="00B33144"/>
    <w:rsid w:val="00B37AD2"/>
    <w:rsid w:val="00B40ECE"/>
    <w:rsid w:val="00B439C5"/>
    <w:rsid w:val="00B4532E"/>
    <w:rsid w:val="00B720DB"/>
    <w:rsid w:val="00B7311C"/>
    <w:rsid w:val="00B73CB1"/>
    <w:rsid w:val="00B76987"/>
    <w:rsid w:val="00B9039F"/>
    <w:rsid w:val="00B946A1"/>
    <w:rsid w:val="00B96895"/>
    <w:rsid w:val="00BA0BD7"/>
    <w:rsid w:val="00BA4BA8"/>
    <w:rsid w:val="00BA4C18"/>
    <w:rsid w:val="00BB0882"/>
    <w:rsid w:val="00BB2A35"/>
    <w:rsid w:val="00BC16C7"/>
    <w:rsid w:val="00BC7ACA"/>
    <w:rsid w:val="00BD3959"/>
    <w:rsid w:val="00BE2E20"/>
    <w:rsid w:val="00BF488F"/>
    <w:rsid w:val="00BF4E34"/>
    <w:rsid w:val="00C019B3"/>
    <w:rsid w:val="00C12861"/>
    <w:rsid w:val="00C12945"/>
    <w:rsid w:val="00C1606C"/>
    <w:rsid w:val="00C244A8"/>
    <w:rsid w:val="00C34CC7"/>
    <w:rsid w:val="00C40738"/>
    <w:rsid w:val="00C52230"/>
    <w:rsid w:val="00C54826"/>
    <w:rsid w:val="00C56148"/>
    <w:rsid w:val="00C57398"/>
    <w:rsid w:val="00C63686"/>
    <w:rsid w:val="00C65BD5"/>
    <w:rsid w:val="00C67A47"/>
    <w:rsid w:val="00C710C0"/>
    <w:rsid w:val="00C76574"/>
    <w:rsid w:val="00C90819"/>
    <w:rsid w:val="00C944FE"/>
    <w:rsid w:val="00C94E15"/>
    <w:rsid w:val="00C97B86"/>
    <w:rsid w:val="00CA5346"/>
    <w:rsid w:val="00CB1252"/>
    <w:rsid w:val="00CB6910"/>
    <w:rsid w:val="00CD2836"/>
    <w:rsid w:val="00CD2991"/>
    <w:rsid w:val="00CE1B3E"/>
    <w:rsid w:val="00CF2816"/>
    <w:rsid w:val="00CF29FB"/>
    <w:rsid w:val="00D143A7"/>
    <w:rsid w:val="00D162D6"/>
    <w:rsid w:val="00D165B2"/>
    <w:rsid w:val="00D222C3"/>
    <w:rsid w:val="00D30E09"/>
    <w:rsid w:val="00D31DC9"/>
    <w:rsid w:val="00D32DFC"/>
    <w:rsid w:val="00D33CFB"/>
    <w:rsid w:val="00D35257"/>
    <w:rsid w:val="00D367B3"/>
    <w:rsid w:val="00D45974"/>
    <w:rsid w:val="00D530F0"/>
    <w:rsid w:val="00D57204"/>
    <w:rsid w:val="00D575E3"/>
    <w:rsid w:val="00D62844"/>
    <w:rsid w:val="00D70A00"/>
    <w:rsid w:val="00D76FFF"/>
    <w:rsid w:val="00D935A8"/>
    <w:rsid w:val="00D94692"/>
    <w:rsid w:val="00D97E7A"/>
    <w:rsid w:val="00DA18F6"/>
    <w:rsid w:val="00DA37BD"/>
    <w:rsid w:val="00DA4951"/>
    <w:rsid w:val="00DA6B32"/>
    <w:rsid w:val="00DB3367"/>
    <w:rsid w:val="00DC2F6D"/>
    <w:rsid w:val="00DE07A1"/>
    <w:rsid w:val="00DE4569"/>
    <w:rsid w:val="00DE51D3"/>
    <w:rsid w:val="00DE7479"/>
    <w:rsid w:val="00DF1F9A"/>
    <w:rsid w:val="00DF38CF"/>
    <w:rsid w:val="00E017FB"/>
    <w:rsid w:val="00E020B7"/>
    <w:rsid w:val="00E05FCC"/>
    <w:rsid w:val="00E32F51"/>
    <w:rsid w:val="00E338D5"/>
    <w:rsid w:val="00E40BB8"/>
    <w:rsid w:val="00E52980"/>
    <w:rsid w:val="00E5364C"/>
    <w:rsid w:val="00E53F86"/>
    <w:rsid w:val="00E57966"/>
    <w:rsid w:val="00E65E5D"/>
    <w:rsid w:val="00E70ADB"/>
    <w:rsid w:val="00E7173B"/>
    <w:rsid w:val="00E73DE2"/>
    <w:rsid w:val="00E7701C"/>
    <w:rsid w:val="00E77AE3"/>
    <w:rsid w:val="00E85FC0"/>
    <w:rsid w:val="00E8770D"/>
    <w:rsid w:val="00E95FF5"/>
    <w:rsid w:val="00EA1078"/>
    <w:rsid w:val="00EA5218"/>
    <w:rsid w:val="00EB532E"/>
    <w:rsid w:val="00EB6A04"/>
    <w:rsid w:val="00EC21F4"/>
    <w:rsid w:val="00EC27F9"/>
    <w:rsid w:val="00EC307E"/>
    <w:rsid w:val="00EC4DCC"/>
    <w:rsid w:val="00EE07D6"/>
    <w:rsid w:val="00EE4186"/>
    <w:rsid w:val="00EE4429"/>
    <w:rsid w:val="00EE4FC8"/>
    <w:rsid w:val="00EE52A9"/>
    <w:rsid w:val="00EF7222"/>
    <w:rsid w:val="00F04276"/>
    <w:rsid w:val="00F052F1"/>
    <w:rsid w:val="00F12603"/>
    <w:rsid w:val="00F13C69"/>
    <w:rsid w:val="00F17AA1"/>
    <w:rsid w:val="00F21913"/>
    <w:rsid w:val="00F234F7"/>
    <w:rsid w:val="00F23534"/>
    <w:rsid w:val="00F258CF"/>
    <w:rsid w:val="00F37979"/>
    <w:rsid w:val="00F41858"/>
    <w:rsid w:val="00F42C28"/>
    <w:rsid w:val="00F44D52"/>
    <w:rsid w:val="00F45400"/>
    <w:rsid w:val="00F471EE"/>
    <w:rsid w:val="00F512BC"/>
    <w:rsid w:val="00F56C98"/>
    <w:rsid w:val="00F63E4A"/>
    <w:rsid w:val="00F6623A"/>
    <w:rsid w:val="00F716B5"/>
    <w:rsid w:val="00F77FAA"/>
    <w:rsid w:val="00F80C6B"/>
    <w:rsid w:val="00F8450B"/>
    <w:rsid w:val="00F90CF3"/>
    <w:rsid w:val="00FA1416"/>
    <w:rsid w:val="00FA232E"/>
    <w:rsid w:val="00FB3483"/>
    <w:rsid w:val="00FB36BB"/>
    <w:rsid w:val="00FB4287"/>
    <w:rsid w:val="00FB767F"/>
    <w:rsid w:val="00FC1BBD"/>
    <w:rsid w:val="00FC6505"/>
    <w:rsid w:val="00FD6157"/>
    <w:rsid w:val="00FD64FD"/>
    <w:rsid w:val="00FE640E"/>
    <w:rsid w:val="00FE7F96"/>
    <w:rsid w:val="00FF46D0"/>
    <w:rsid w:val="00FF4AAF"/>
    <w:rsid w:val="00FF6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6ECBC2"/>
  <w15:chartTrackingRefBased/>
  <w15:docId w15:val="{D9AD5943-5936-4B81-AB31-7170191E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B3E"/>
    <w:rPr>
      <w:rFonts w:ascii="Calibri" w:hAnsi="Calibri"/>
      <w:sz w:val="22"/>
      <w:szCs w:val="24"/>
      <w:lang w:eastAsia="en-US"/>
    </w:rPr>
  </w:style>
  <w:style w:type="paragraph" w:styleId="Heading1">
    <w:name w:val="heading 1"/>
    <w:basedOn w:val="Normal"/>
    <w:next w:val="Normal"/>
    <w:link w:val="Heading1Char"/>
    <w:uiPriority w:val="9"/>
    <w:qFormat/>
    <w:rsid w:val="00392020"/>
    <w:pPr>
      <w:keepNext/>
      <w:spacing w:before="120" w:after="60"/>
      <w:outlineLvl w:val="0"/>
    </w:pPr>
    <w:rPr>
      <w:rFonts w:asciiTheme="minorHAnsi" w:hAnsiTheme="minorHAnsi"/>
      <w:b/>
      <w:bCs/>
      <w:kern w:val="32"/>
      <w:sz w:val="28"/>
      <w:szCs w:val="28"/>
      <w:u w:val="single"/>
    </w:rPr>
  </w:style>
  <w:style w:type="paragraph" w:styleId="Heading2">
    <w:name w:val="heading 2"/>
    <w:basedOn w:val="Normal"/>
    <w:next w:val="Normal"/>
    <w:link w:val="Heading2Char"/>
    <w:uiPriority w:val="9"/>
    <w:unhideWhenUsed/>
    <w:qFormat/>
    <w:rsid w:val="00420A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338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338D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338D5"/>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E338D5"/>
    <w:pPr>
      <w:spacing w:before="240" w:after="60"/>
      <w:outlineLvl w:val="5"/>
    </w:pPr>
    <w:rPr>
      <w:b/>
      <w:bCs/>
      <w:szCs w:val="22"/>
    </w:rPr>
  </w:style>
  <w:style w:type="paragraph" w:styleId="Heading7">
    <w:name w:val="heading 7"/>
    <w:basedOn w:val="Normal"/>
    <w:next w:val="Normal"/>
    <w:link w:val="Heading7Char"/>
    <w:uiPriority w:val="9"/>
    <w:unhideWhenUsed/>
    <w:qFormat/>
    <w:rsid w:val="00E338D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A04"/>
    <w:pPr>
      <w:tabs>
        <w:tab w:val="center" w:pos="4680"/>
        <w:tab w:val="right" w:pos="9360"/>
      </w:tabs>
    </w:pPr>
  </w:style>
  <w:style w:type="character" w:customStyle="1" w:styleId="HeaderChar">
    <w:name w:val="Header Char"/>
    <w:link w:val="Header"/>
    <w:uiPriority w:val="99"/>
    <w:rsid w:val="00EB6A04"/>
    <w:rPr>
      <w:sz w:val="24"/>
      <w:szCs w:val="24"/>
      <w:lang w:eastAsia="en-US"/>
    </w:rPr>
  </w:style>
  <w:style w:type="paragraph" w:styleId="Footer">
    <w:name w:val="footer"/>
    <w:basedOn w:val="Normal"/>
    <w:link w:val="FooterChar"/>
    <w:uiPriority w:val="99"/>
    <w:unhideWhenUsed/>
    <w:rsid w:val="00EB6A04"/>
    <w:pPr>
      <w:tabs>
        <w:tab w:val="center" w:pos="4680"/>
        <w:tab w:val="right" w:pos="9360"/>
      </w:tabs>
    </w:pPr>
  </w:style>
  <w:style w:type="character" w:customStyle="1" w:styleId="FooterChar">
    <w:name w:val="Footer Char"/>
    <w:link w:val="Footer"/>
    <w:uiPriority w:val="99"/>
    <w:rsid w:val="00EB6A04"/>
    <w:rPr>
      <w:sz w:val="24"/>
      <w:szCs w:val="24"/>
      <w:lang w:eastAsia="en-US"/>
    </w:rPr>
  </w:style>
  <w:style w:type="paragraph" w:styleId="ListParagraph">
    <w:name w:val="List Paragraph"/>
    <w:basedOn w:val="Normal"/>
    <w:uiPriority w:val="34"/>
    <w:qFormat/>
    <w:rsid w:val="00026276"/>
    <w:pPr>
      <w:ind w:left="720"/>
      <w:contextualSpacing/>
    </w:pPr>
    <w:rPr>
      <w:rFonts w:eastAsia="Calibri"/>
      <w:szCs w:val="22"/>
    </w:rPr>
  </w:style>
  <w:style w:type="character" w:customStyle="1" w:styleId="ms-rtecustom-lgp">
    <w:name w:val="ms-rtecustom-lg_p"/>
    <w:basedOn w:val="DefaultParagraphFont"/>
    <w:rsid w:val="00026276"/>
  </w:style>
  <w:style w:type="character" w:customStyle="1" w:styleId="Heading1Char">
    <w:name w:val="Heading 1 Char"/>
    <w:link w:val="Heading1"/>
    <w:uiPriority w:val="9"/>
    <w:rsid w:val="00392020"/>
    <w:rPr>
      <w:rFonts w:asciiTheme="minorHAnsi" w:hAnsiTheme="minorHAnsi"/>
      <w:b/>
      <w:bCs/>
      <w:kern w:val="32"/>
      <w:sz w:val="28"/>
      <w:szCs w:val="28"/>
      <w:u w:val="single"/>
      <w:lang w:eastAsia="en-US"/>
    </w:rPr>
  </w:style>
  <w:style w:type="paragraph" w:styleId="TOCHeading">
    <w:name w:val="TOC Heading"/>
    <w:basedOn w:val="Heading1"/>
    <w:next w:val="Normal"/>
    <w:uiPriority w:val="39"/>
    <w:semiHidden/>
    <w:unhideWhenUsed/>
    <w:qFormat/>
    <w:rsid w:val="00420AFB"/>
    <w:pPr>
      <w:keepLines/>
      <w:spacing w:before="480" w:after="0" w:line="276" w:lineRule="auto"/>
      <w:outlineLvl w:val="9"/>
    </w:pPr>
    <w:rPr>
      <w:color w:val="365F91"/>
      <w:kern w:val="0"/>
      <w:lang w:val="en-US"/>
    </w:rPr>
  </w:style>
  <w:style w:type="character" w:customStyle="1" w:styleId="Heading2Char">
    <w:name w:val="Heading 2 Char"/>
    <w:link w:val="Heading2"/>
    <w:uiPriority w:val="9"/>
    <w:rsid w:val="00420AFB"/>
    <w:rPr>
      <w:rFonts w:ascii="Cambria" w:eastAsia="Times New Roman" w:hAnsi="Cambria" w:cs="Times New Roman"/>
      <w:b/>
      <w:bCs/>
      <w:i/>
      <w:iCs/>
      <w:sz w:val="28"/>
      <w:szCs w:val="28"/>
      <w:lang w:eastAsia="en-US"/>
    </w:rPr>
  </w:style>
  <w:style w:type="paragraph" w:styleId="TOC1">
    <w:name w:val="toc 1"/>
    <w:basedOn w:val="Normal"/>
    <w:next w:val="Normal"/>
    <w:autoRedefine/>
    <w:uiPriority w:val="39"/>
    <w:unhideWhenUsed/>
    <w:rsid w:val="00E338D5"/>
  </w:style>
  <w:style w:type="paragraph" w:styleId="TOC2">
    <w:name w:val="toc 2"/>
    <w:basedOn w:val="Normal"/>
    <w:next w:val="Normal"/>
    <w:autoRedefine/>
    <w:uiPriority w:val="39"/>
    <w:unhideWhenUsed/>
    <w:rsid w:val="00E338D5"/>
    <w:pPr>
      <w:ind w:left="240"/>
    </w:pPr>
  </w:style>
  <w:style w:type="character" w:styleId="Hyperlink">
    <w:name w:val="Hyperlink"/>
    <w:uiPriority w:val="99"/>
    <w:unhideWhenUsed/>
    <w:rsid w:val="00E338D5"/>
    <w:rPr>
      <w:color w:val="0000FF"/>
      <w:u w:val="single"/>
    </w:rPr>
  </w:style>
  <w:style w:type="character" w:customStyle="1" w:styleId="Heading3Char">
    <w:name w:val="Heading 3 Char"/>
    <w:link w:val="Heading3"/>
    <w:uiPriority w:val="9"/>
    <w:rsid w:val="00E338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338D5"/>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E338D5"/>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E338D5"/>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E338D5"/>
    <w:rPr>
      <w:rFonts w:ascii="Calibri" w:eastAsia="Times New Roman" w:hAnsi="Calibri" w:cs="Times New Roman"/>
      <w:sz w:val="24"/>
      <w:szCs w:val="24"/>
      <w:lang w:eastAsia="en-US"/>
    </w:rPr>
  </w:style>
  <w:style w:type="paragraph" w:styleId="Subtitle">
    <w:name w:val="Subtitle"/>
    <w:basedOn w:val="Normal"/>
    <w:next w:val="Normal"/>
    <w:link w:val="SubtitleChar"/>
    <w:uiPriority w:val="11"/>
    <w:qFormat/>
    <w:rsid w:val="00C54826"/>
    <w:pPr>
      <w:spacing w:after="60"/>
      <w:jc w:val="center"/>
      <w:outlineLvl w:val="1"/>
    </w:pPr>
    <w:rPr>
      <w:rFonts w:ascii="Cambria" w:hAnsi="Cambria"/>
    </w:rPr>
  </w:style>
  <w:style w:type="character" w:customStyle="1" w:styleId="SubtitleChar">
    <w:name w:val="Subtitle Char"/>
    <w:link w:val="Subtitle"/>
    <w:uiPriority w:val="11"/>
    <w:rsid w:val="00C54826"/>
    <w:rPr>
      <w:rFonts w:ascii="Cambria" w:eastAsia="Times New Roman" w:hAnsi="Cambria" w:cs="Times New Roman"/>
      <w:sz w:val="24"/>
      <w:szCs w:val="24"/>
      <w:lang w:eastAsia="en-US"/>
    </w:rPr>
  </w:style>
  <w:style w:type="paragraph" w:styleId="Title">
    <w:name w:val="Title"/>
    <w:basedOn w:val="Normal"/>
    <w:next w:val="Normal"/>
    <w:link w:val="TitleChar"/>
    <w:uiPriority w:val="10"/>
    <w:qFormat/>
    <w:rsid w:val="00C5482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54826"/>
    <w:rPr>
      <w:rFonts w:ascii="Cambria" w:eastAsia="Times New Roman" w:hAnsi="Cambria" w:cs="Times New Roman"/>
      <w:b/>
      <w:bCs/>
      <w:kern w:val="28"/>
      <w:sz w:val="32"/>
      <w:szCs w:val="32"/>
      <w:lang w:eastAsia="en-US"/>
    </w:rPr>
  </w:style>
  <w:style w:type="paragraph" w:styleId="TOC3">
    <w:name w:val="toc 3"/>
    <w:basedOn w:val="Normal"/>
    <w:next w:val="Normal"/>
    <w:autoRedefine/>
    <w:uiPriority w:val="39"/>
    <w:unhideWhenUsed/>
    <w:rsid w:val="00C54826"/>
    <w:pPr>
      <w:ind w:left="480"/>
    </w:pPr>
  </w:style>
  <w:style w:type="character" w:styleId="CommentReference">
    <w:name w:val="annotation reference"/>
    <w:uiPriority w:val="99"/>
    <w:semiHidden/>
    <w:unhideWhenUsed/>
    <w:rsid w:val="00995FFF"/>
    <w:rPr>
      <w:sz w:val="16"/>
      <w:szCs w:val="16"/>
    </w:rPr>
  </w:style>
  <w:style w:type="paragraph" w:styleId="CommentText">
    <w:name w:val="annotation text"/>
    <w:basedOn w:val="Normal"/>
    <w:link w:val="CommentTextChar"/>
    <w:uiPriority w:val="99"/>
    <w:unhideWhenUsed/>
    <w:rsid w:val="00995FFF"/>
    <w:rPr>
      <w:sz w:val="20"/>
      <w:szCs w:val="20"/>
    </w:rPr>
  </w:style>
  <w:style w:type="character" w:customStyle="1" w:styleId="CommentTextChar">
    <w:name w:val="Comment Text Char"/>
    <w:link w:val="CommentText"/>
    <w:uiPriority w:val="99"/>
    <w:rsid w:val="00995FFF"/>
    <w:rPr>
      <w:lang w:eastAsia="en-US"/>
    </w:rPr>
  </w:style>
  <w:style w:type="paragraph" w:styleId="CommentSubject">
    <w:name w:val="annotation subject"/>
    <w:basedOn w:val="CommentText"/>
    <w:next w:val="CommentText"/>
    <w:link w:val="CommentSubjectChar"/>
    <w:uiPriority w:val="99"/>
    <w:semiHidden/>
    <w:unhideWhenUsed/>
    <w:rsid w:val="00995FFF"/>
    <w:rPr>
      <w:b/>
      <w:bCs/>
    </w:rPr>
  </w:style>
  <w:style w:type="character" w:customStyle="1" w:styleId="CommentSubjectChar">
    <w:name w:val="Comment Subject Char"/>
    <w:link w:val="CommentSubject"/>
    <w:uiPriority w:val="99"/>
    <w:semiHidden/>
    <w:rsid w:val="00995FFF"/>
    <w:rPr>
      <w:b/>
      <w:bCs/>
      <w:lang w:eastAsia="en-US"/>
    </w:rPr>
  </w:style>
  <w:style w:type="paragraph" w:styleId="BalloonText">
    <w:name w:val="Balloon Text"/>
    <w:basedOn w:val="Normal"/>
    <w:link w:val="BalloonTextChar"/>
    <w:uiPriority w:val="99"/>
    <w:semiHidden/>
    <w:unhideWhenUsed/>
    <w:rsid w:val="00995FFF"/>
    <w:rPr>
      <w:rFonts w:ascii="Tahoma" w:hAnsi="Tahoma" w:cs="Tahoma"/>
      <w:sz w:val="16"/>
      <w:szCs w:val="16"/>
    </w:rPr>
  </w:style>
  <w:style w:type="character" w:customStyle="1" w:styleId="BalloonTextChar">
    <w:name w:val="Balloon Text Char"/>
    <w:link w:val="BalloonText"/>
    <w:uiPriority w:val="99"/>
    <w:semiHidden/>
    <w:rsid w:val="00995FFF"/>
    <w:rPr>
      <w:rFonts w:ascii="Tahoma" w:hAnsi="Tahoma" w:cs="Tahoma"/>
      <w:sz w:val="16"/>
      <w:szCs w:val="16"/>
      <w:lang w:eastAsia="en-US"/>
    </w:rPr>
  </w:style>
  <w:style w:type="paragraph" w:styleId="Revision">
    <w:name w:val="Revision"/>
    <w:hidden/>
    <w:uiPriority w:val="99"/>
    <w:semiHidden/>
    <w:rsid w:val="005B4F4E"/>
    <w:rPr>
      <w:sz w:val="24"/>
      <w:szCs w:val="24"/>
      <w:lang w:eastAsia="en-US"/>
    </w:rPr>
  </w:style>
  <w:style w:type="character" w:customStyle="1" w:styleId="itxtrst">
    <w:name w:val="itxtrst"/>
    <w:basedOn w:val="DefaultParagraphFont"/>
    <w:rsid w:val="00A15C9D"/>
  </w:style>
  <w:style w:type="paragraph" w:styleId="NormalWeb">
    <w:name w:val="Normal (Web)"/>
    <w:basedOn w:val="Normal"/>
    <w:uiPriority w:val="99"/>
    <w:unhideWhenUsed/>
    <w:rsid w:val="00014539"/>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n\AppData\Roaming\Microsoft\Templates\Computer%20use%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0B69404FF714BB9052A9103519618" ma:contentTypeVersion="" ma:contentTypeDescription="Create a new document." ma:contentTypeScope="" ma:versionID="4f4d53c950b29343bdd776df73c5e4c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AD094-50FD-48DD-883F-50A8D000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180435-E5BA-4644-B822-E3B917A29C12}">
  <ds:schemaRefs>
    <ds:schemaRef ds:uri="http://schemas.microsoft.com/office/2006/metadata/longProperties"/>
  </ds:schemaRefs>
</ds:datastoreItem>
</file>

<file path=customXml/itemProps3.xml><?xml version="1.0" encoding="utf-8"?>
<ds:datastoreItem xmlns:ds="http://schemas.openxmlformats.org/officeDocument/2006/customXml" ds:itemID="{19B51AE1-A27A-4583-80DB-34DB5B09AB86}">
  <ds:schemaRefs>
    <ds:schemaRef ds:uri="http://schemas.microsoft.com/sharepoint/v3/contenttype/forms"/>
  </ds:schemaRefs>
</ds:datastoreItem>
</file>

<file path=customXml/itemProps4.xml><?xml version="1.0" encoding="utf-8"?>
<ds:datastoreItem xmlns:ds="http://schemas.openxmlformats.org/officeDocument/2006/customXml" ds:itemID="{CDA38040-0E58-4F5F-9CEE-3F6B283F6E7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12E2A6E-35D3-400A-A36D-E53F8F82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use policy.dot</Template>
  <TotalTime>2</TotalTime>
  <Pages>21</Pages>
  <Words>6298</Words>
  <Characters>41720</Characters>
  <Application>Microsoft Office Word</Application>
  <DocSecurity>0</DocSecurity>
  <Lines>347</Lines>
  <Paragraphs>95</Paragraphs>
  <ScaleCrop>false</ScaleCrop>
  <HeadingPairs>
    <vt:vector size="2" baseType="variant">
      <vt:variant>
        <vt:lpstr>Title</vt:lpstr>
      </vt:variant>
      <vt:variant>
        <vt:i4>1</vt:i4>
      </vt:variant>
    </vt:vector>
  </HeadingPairs>
  <TitlesOfParts>
    <vt:vector size="1" baseType="lpstr">
      <vt:lpstr>Credit Risk Management Model Policy V3</vt:lpstr>
    </vt:vector>
  </TitlesOfParts>
  <Company>FindLaw</Company>
  <LinksUpToDate>false</LinksUpToDate>
  <CharactersWithSpaces>47923</CharactersWithSpaces>
  <SharedDoc>false</SharedDoc>
  <HLinks>
    <vt:vector size="294" baseType="variant">
      <vt:variant>
        <vt:i4>1638461</vt:i4>
      </vt:variant>
      <vt:variant>
        <vt:i4>292</vt:i4>
      </vt:variant>
      <vt:variant>
        <vt:i4>0</vt:i4>
      </vt:variant>
      <vt:variant>
        <vt:i4>5</vt:i4>
      </vt:variant>
      <vt:variant>
        <vt:lpwstr/>
      </vt:variant>
      <vt:variant>
        <vt:lpwstr>_Toc465949881</vt:lpwstr>
      </vt:variant>
      <vt:variant>
        <vt:i4>1638461</vt:i4>
      </vt:variant>
      <vt:variant>
        <vt:i4>286</vt:i4>
      </vt:variant>
      <vt:variant>
        <vt:i4>0</vt:i4>
      </vt:variant>
      <vt:variant>
        <vt:i4>5</vt:i4>
      </vt:variant>
      <vt:variant>
        <vt:lpwstr/>
      </vt:variant>
      <vt:variant>
        <vt:lpwstr>_Toc465949880</vt:lpwstr>
      </vt:variant>
      <vt:variant>
        <vt:i4>1441853</vt:i4>
      </vt:variant>
      <vt:variant>
        <vt:i4>280</vt:i4>
      </vt:variant>
      <vt:variant>
        <vt:i4>0</vt:i4>
      </vt:variant>
      <vt:variant>
        <vt:i4>5</vt:i4>
      </vt:variant>
      <vt:variant>
        <vt:lpwstr/>
      </vt:variant>
      <vt:variant>
        <vt:lpwstr>_Toc465949879</vt:lpwstr>
      </vt:variant>
      <vt:variant>
        <vt:i4>1441853</vt:i4>
      </vt:variant>
      <vt:variant>
        <vt:i4>274</vt:i4>
      </vt:variant>
      <vt:variant>
        <vt:i4>0</vt:i4>
      </vt:variant>
      <vt:variant>
        <vt:i4>5</vt:i4>
      </vt:variant>
      <vt:variant>
        <vt:lpwstr/>
      </vt:variant>
      <vt:variant>
        <vt:lpwstr>_Toc465949878</vt:lpwstr>
      </vt:variant>
      <vt:variant>
        <vt:i4>1441853</vt:i4>
      </vt:variant>
      <vt:variant>
        <vt:i4>268</vt:i4>
      </vt:variant>
      <vt:variant>
        <vt:i4>0</vt:i4>
      </vt:variant>
      <vt:variant>
        <vt:i4>5</vt:i4>
      </vt:variant>
      <vt:variant>
        <vt:lpwstr/>
      </vt:variant>
      <vt:variant>
        <vt:lpwstr>_Toc465949877</vt:lpwstr>
      </vt:variant>
      <vt:variant>
        <vt:i4>1441853</vt:i4>
      </vt:variant>
      <vt:variant>
        <vt:i4>262</vt:i4>
      </vt:variant>
      <vt:variant>
        <vt:i4>0</vt:i4>
      </vt:variant>
      <vt:variant>
        <vt:i4>5</vt:i4>
      </vt:variant>
      <vt:variant>
        <vt:lpwstr/>
      </vt:variant>
      <vt:variant>
        <vt:lpwstr>_Toc465949876</vt:lpwstr>
      </vt:variant>
      <vt:variant>
        <vt:i4>1441853</vt:i4>
      </vt:variant>
      <vt:variant>
        <vt:i4>256</vt:i4>
      </vt:variant>
      <vt:variant>
        <vt:i4>0</vt:i4>
      </vt:variant>
      <vt:variant>
        <vt:i4>5</vt:i4>
      </vt:variant>
      <vt:variant>
        <vt:lpwstr/>
      </vt:variant>
      <vt:variant>
        <vt:lpwstr>_Toc465949875</vt:lpwstr>
      </vt:variant>
      <vt:variant>
        <vt:i4>1441853</vt:i4>
      </vt:variant>
      <vt:variant>
        <vt:i4>250</vt:i4>
      </vt:variant>
      <vt:variant>
        <vt:i4>0</vt:i4>
      </vt:variant>
      <vt:variant>
        <vt:i4>5</vt:i4>
      </vt:variant>
      <vt:variant>
        <vt:lpwstr/>
      </vt:variant>
      <vt:variant>
        <vt:lpwstr>_Toc465949874</vt:lpwstr>
      </vt:variant>
      <vt:variant>
        <vt:i4>1441853</vt:i4>
      </vt:variant>
      <vt:variant>
        <vt:i4>244</vt:i4>
      </vt:variant>
      <vt:variant>
        <vt:i4>0</vt:i4>
      </vt:variant>
      <vt:variant>
        <vt:i4>5</vt:i4>
      </vt:variant>
      <vt:variant>
        <vt:lpwstr/>
      </vt:variant>
      <vt:variant>
        <vt:lpwstr>_Toc465949873</vt:lpwstr>
      </vt:variant>
      <vt:variant>
        <vt:i4>1441853</vt:i4>
      </vt:variant>
      <vt:variant>
        <vt:i4>238</vt:i4>
      </vt:variant>
      <vt:variant>
        <vt:i4>0</vt:i4>
      </vt:variant>
      <vt:variant>
        <vt:i4>5</vt:i4>
      </vt:variant>
      <vt:variant>
        <vt:lpwstr/>
      </vt:variant>
      <vt:variant>
        <vt:lpwstr>_Toc465949872</vt:lpwstr>
      </vt:variant>
      <vt:variant>
        <vt:i4>1441853</vt:i4>
      </vt:variant>
      <vt:variant>
        <vt:i4>232</vt:i4>
      </vt:variant>
      <vt:variant>
        <vt:i4>0</vt:i4>
      </vt:variant>
      <vt:variant>
        <vt:i4>5</vt:i4>
      </vt:variant>
      <vt:variant>
        <vt:lpwstr/>
      </vt:variant>
      <vt:variant>
        <vt:lpwstr>_Toc465949871</vt:lpwstr>
      </vt:variant>
      <vt:variant>
        <vt:i4>1441853</vt:i4>
      </vt:variant>
      <vt:variant>
        <vt:i4>226</vt:i4>
      </vt:variant>
      <vt:variant>
        <vt:i4>0</vt:i4>
      </vt:variant>
      <vt:variant>
        <vt:i4>5</vt:i4>
      </vt:variant>
      <vt:variant>
        <vt:lpwstr/>
      </vt:variant>
      <vt:variant>
        <vt:lpwstr>_Toc465949870</vt:lpwstr>
      </vt:variant>
      <vt:variant>
        <vt:i4>1507389</vt:i4>
      </vt:variant>
      <vt:variant>
        <vt:i4>220</vt:i4>
      </vt:variant>
      <vt:variant>
        <vt:i4>0</vt:i4>
      </vt:variant>
      <vt:variant>
        <vt:i4>5</vt:i4>
      </vt:variant>
      <vt:variant>
        <vt:lpwstr/>
      </vt:variant>
      <vt:variant>
        <vt:lpwstr>_Toc465949869</vt:lpwstr>
      </vt:variant>
      <vt:variant>
        <vt:i4>1507389</vt:i4>
      </vt:variant>
      <vt:variant>
        <vt:i4>214</vt:i4>
      </vt:variant>
      <vt:variant>
        <vt:i4>0</vt:i4>
      </vt:variant>
      <vt:variant>
        <vt:i4>5</vt:i4>
      </vt:variant>
      <vt:variant>
        <vt:lpwstr/>
      </vt:variant>
      <vt:variant>
        <vt:lpwstr>_Toc465949868</vt:lpwstr>
      </vt:variant>
      <vt:variant>
        <vt:i4>1507389</vt:i4>
      </vt:variant>
      <vt:variant>
        <vt:i4>208</vt:i4>
      </vt:variant>
      <vt:variant>
        <vt:i4>0</vt:i4>
      </vt:variant>
      <vt:variant>
        <vt:i4>5</vt:i4>
      </vt:variant>
      <vt:variant>
        <vt:lpwstr/>
      </vt:variant>
      <vt:variant>
        <vt:lpwstr>_Toc465949867</vt:lpwstr>
      </vt:variant>
      <vt:variant>
        <vt:i4>1507389</vt:i4>
      </vt:variant>
      <vt:variant>
        <vt:i4>202</vt:i4>
      </vt:variant>
      <vt:variant>
        <vt:i4>0</vt:i4>
      </vt:variant>
      <vt:variant>
        <vt:i4>5</vt:i4>
      </vt:variant>
      <vt:variant>
        <vt:lpwstr/>
      </vt:variant>
      <vt:variant>
        <vt:lpwstr>_Toc465949866</vt:lpwstr>
      </vt:variant>
      <vt:variant>
        <vt:i4>1507389</vt:i4>
      </vt:variant>
      <vt:variant>
        <vt:i4>196</vt:i4>
      </vt:variant>
      <vt:variant>
        <vt:i4>0</vt:i4>
      </vt:variant>
      <vt:variant>
        <vt:i4>5</vt:i4>
      </vt:variant>
      <vt:variant>
        <vt:lpwstr/>
      </vt:variant>
      <vt:variant>
        <vt:lpwstr>_Toc465949865</vt:lpwstr>
      </vt:variant>
      <vt:variant>
        <vt:i4>1507389</vt:i4>
      </vt:variant>
      <vt:variant>
        <vt:i4>190</vt:i4>
      </vt:variant>
      <vt:variant>
        <vt:i4>0</vt:i4>
      </vt:variant>
      <vt:variant>
        <vt:i4>5</vt:i4>
      </vt:variant>
      <vt:variant>
        <vt:lpwstr/>
      </vt:variant>
      <vt:variant>
        <vt:lpwstr>_Toc465949864</vt:lpwstr>
      </vt:variant>
      <vt:variant>
        <vt:i4>1507389</vt:i4>
      </vt:variant>
      <vt:variant>
        <vt:i4>184</vt:i4>
      </vt:variant>
      <vt:variant>
        <vt:i4>0</vt:i4>
      </vt:variant>
      <vt:variant>
        <vt:i4>5</vt:i4>
      </vt:variant>
      <vt:variant>
        <vt:lpwstr/>
      </vt:variant>
      <vt:variant>
        <vt:lpwstr>_Toc465949863</vt:lpwstr>
      </vt:variant>
      <vt:variant>
        <vt:i4>1507389</vt:i4>
      </vt:variant>
      <vt:variant>
        <vt:i4>178</vt:i4>
      </vt:variant>
      <vt:variant>
        <vt:i4>0</vt:i4>
      </vt:variant>
      <vt:variant>
        <vt:i4>5</vt:i4>
      </vt:variant>
      <vt:variant>
        <vt:lpwstr/>
      </vt:variant>
      <vt:variant>
        <vt:lpwstr>_Toc465949862</vt:lpwstr>
      </vt:variant>
      <vt:variant>
        <vt:i4>1507389</vt:i4>
      </vt:variant>
      <vt:variant>
        <vt:i4>172</vt:i4>
      </vt:variant>
      <vt:variant>
        <vt:i4>0</vt:i4>
      </vt:variant>
      <vt:variant>
        <vt:i4>5</vt:i4>
      </vt:variant>
      <vt:variant>
        <vt:lpwstr/>
      </vt:variant>
      <vt:variant>
        <vt:lpwstr>_Toc465949861</vt:lpwstr>
      </vt:variant>
      <vt:variant>
        <vt:i4>1507389</vt:i4>
      </vt:variant>
      <vt:variant>
        <vt:i4>166</vt:i4>
      </vt:variant>
      <vt:variant>
        <vt:i4>0</vt:i4>
      </vt:variant>
      <vt:variant>
        <vt:i4>5</vt:i4>
      </vt:variant>
      <vt:variant>
        <vt:lpwstr/>
      </vt:variant>
      <vt:variant>
        <vt:lpwstr>_Toc465949860</vt:lpwstr>
      </vt:variant>
      <vt:variant>
        <vt:i4>1310781</vt:i4>
      </vt:variant>
      <vt:variant>
        <vt:i4>160</vt:i4>
      </vt:variant>
      <vt:variant>
        <vt:i4>0</vt:i4>
      </vt:variant>
      <vt:variant>
        <vt:i4>5</vt:i4>
      </vt:variant>
      <vt:variant>
        <vt:lpwstr/>
      </vt:variant>
      <vt:variant>
        <vt:lpwstr>_Toc465949859</vt:lpwstr>
      </vt:variant>
      <vt:variant>
        <vt:i4>1310781</vt:i4>
      </vt:variant>
      <vt:variant>
        <vt:i4>154</vt:i4>
      </vt:variant>
      <vt:variant>
        <vt:i4>0</vt:i4>
      </vt:variant>
      <vt:variant>
        <vt:i4>5</vt:i4>
      </vt:variant>
      <vt:variant>
        <vt:lpwstr/>
      </vt:variant>
      <vt:variant>
        <vt:lpwstr>_Toc465949858</vt:lpwstr>
      </vt:variant>
      <vt:variant>
        <vt:i4>1310781</vt:i4>
      </vt:variant>
      <vt:variant>
        <vt:i4>148</vt:i4>
      </vt:variant>
      <vt:variant>
        <vt:i4>0</vt:i4>
      </vt:variant>
      <vt:variant>
        <vt:i4>5</vt:i4>
      </vt:variant>
      <vt:variant>
        <vt:lpwstr/>
      </vt:variant>
      <vt:variant>
        <vt:lpwstr>_Toc465949857</vt:lpwstr>
      </vt:variant>
      <vt:variant>
        <vt:i4>1310781</vt:i4>
      </vt:variant>
      <vt:variant>
        <vt:i4>142</vt:i4>
      </vt:variant>
      <vt:variant>
        <vt:i4>0</vt:i4>
      </vt:variant>
      <vt:variant>
        <vt:i4>5</vt:i4>
      </vt:variant>
      <vt:variant>
        <vt:lpwstr/>
      </vt:variant>
      <vt:variant>
        <vt:lpwstr>_Toc465949856</vt:lpwstr>
      </vt:variant>
      <vt:variant>
        <vt:i4>1310781</vt:i4>
      </vt:variant>
      <vt:variant>
        <vt:i4>136</vt:i4>
      </vt:variant>
      <vt:variant>
        <vt:i4>0</vt:i4>
      </vt:variant>
      <vt:variant>
        <vt:i4>5</vt:i4>
      </vt:variant>
      <vt:variant>
        <vt:lpwstr/>
      </vt:variant>
      <vt:variant>
        <vt:lpwstr>_Toc465949855</vt:lpwstr>
      </vt:variant>
      <vt:variant>
        <vt:i4>1310781</vt:i4>
      </vt:variant>
      <vt:variant>
        <vt:i4>130</vt:i4>
      </vt:variant>
      <vt:variant>
        <vt:i4>0</vt:i4>
      </vt:variant>
      <vt:variant>
        <vt:i4>5</vt:i4>
      </vt:variant>
      <vt:variant>
        <vt:lpwstr/>
      </vt:variant>
      <vt:variant>
        <vt:lpwstr>_Toc465949854</vt:lpwstr>
      </vt:variant>
      <vt:variant>
        <vt:i4>1310781</vt:i4>
      </vt:variant>
      <vt:variant>
        <vt:i4>124</vt:i4>
      </vt:variant>
      <vt:variant>
        <vt:i4>0</vt:i4>
      </vt:variant>
      <vt:variant>
        <vt:i4>5</vt:i4>
      </vt:variant>
      <vt:variant>
        <vt:lpwstr/>
      </vt:variant>
      <vt:variant>
        <vt:lpwstr>_Toc465949853</vt:lpwstr>
      </vt:variant>
      <vt:variant>
        <vt:i4>1310781</vt:i4>
      </vt:variant>
      <vt:variant>
        <vt:i4>118</vt:i4>
      </vt:variant>
      <vt:variant>
        <vt:i4>0</vt:i4>
      </vt:variant>
      <vt:variant>
        <vt:i4>5</vt:i4>
      </vt:variant>
      <vt:variant>
        <vt:lpwstr/>
      </vt:variant>
      <vt:variant>
        <vt:lpwstr>_Toc465949852</vt:lpwstr>
      </vt:variant>
      <vt:variant>
        <vt:i4>1310781</vt:i4>
      </vt:variant>
      <vt:variant>
        <vt:i4>112</vt:i4>
      </vt:variant>
      <vt:variant>
        <vt:i4>0</vt:i4>
      </vt:variant>
      <vt:variant>
        <vt:i4>5</vt:i4>
      </vt:variant>
      <vt:variant>
        <vt:lpwstr/>
      </vt:variant>
      <vt:variant>
        <vt:lpwstr>_Toc465949851</vt:lpwstr>
      </vt:variant>
      <vt:variant>
        <vt:i4>1310781</vt:i4>
      </vt:variant>
      <vt:variant>
        <vt:i4>106</vt:i4>
      </vt:variant>
      <vt:variant>
        <vt:i4>0</vt:i4>
      </vt:variant>
      <vt:variant>
        <vt:i4>5</vt:i4>
      </vt:variant>
      <vt:variant>
        <vt:lpwstr/>
      </vt:variant>
      <vt:variant>
        <vt:lpwstr>_Toc465949850</vt:lpwstr>
      </vt:variant>
      <vt:variant>
        <vt:i4>1376317</vt:i4>
      </vt:variant>
      <vt:variant>
        <vt:i4>100</vt:i4>
      </vt:variant>
      <vt:variant>
        <vt:i4>0</vt:i4>
      </vt:variant>
      <vt:variant>
        <vt:i4>5</vt:i4>
      </vt:variant>
      <vt:variant>
        <vt:lpwstr/>
      </vt:variant>
      <vt:variant>
        <vt:lpwstr>_Toc465949849</vt:lpwstr>
      </vt:variant>
      <vt:variant>
        <vt:i4>1376317</vt:i4>
      </vt:variant>
      <vt:variant>
        <vt:i4>94</vt:i4>
      </vt:variant>
      <vt:variant>
        <vt:i4>0</vt:i4>
      </vt:variant>
      <vt:variant>
        <vt:i4>5</vt:i4>
      </vt:variant>
      <vt:variant>
        <vt:lpwstr/>
      </vt:variant>
      <vt:variant>
        <vt:lpwstr>_Toc465949848</vt:lpwstr>
      </vt:variant>
      <vt:variant>
        <vt:i4>1376317</vt:i4>
      </vt:variant>
      <vt:variant>
        <vt:i4>88</vt:i4>
      </vt:variant>
      <vt:variant>
        <vt:i4>0</vt:i4>
      </vt:variant>
      <vt:variant>
        <vt:i4>5</vt:i4>
      </vt:variant>
      <vt:variant>
        <vt:lpwstr/>
      </vt:variant>
      <vt:variant>
        <vt:lpwstr>_Toc465949847</vt:lpwstr>
      </vt:variant>
      <vt:variant>
        <vt:i4>1376317</vt:i4>
      </vt:variant>
      <vt:variant>
        <vt:i4>82</vt:i4>
      </vt:variant>
      <vt:variant>
        <vt:i4>0</vt:i4>
      </vt:variant>
      <vt:variant>
        <vt:i4>5</vt:i4>
      </vt:variant>
      <vt:variant>
        <vt:lpwstr/>
      </vt:variant>
      <vt:variant>
        <vt:lpwstr>_Toc465949846</vt:lpwstr>
      </vt:variant>
      <vt:variant>
        <vt:i4>1376317</vt:i4>
      </vt:variant>
      <vt:variant>
        <vt:i4>76</vt:i4>
      </vt:variant>
      <vt:variant>
        <vt:i4>0</vt:i4>
      </vt:variant>
      <vt:variant>
        <vt:i4>5</vt:i4>
      </vt:variant>
      <vt:variant>
        <vt:lpwstr/>
      </vt:variant>
      <vt:variant>
        <vt:lpwstr>_Toc465949845</vt:lpwstr>
      </vt:variant>
      <vt:variant>
        <vt:i4>1376317</vt:i4>
      </vt:variant>
      <vt:variant>
        <vt:i4>70</vt:i4>
      </vt:variant>
      <vt:variant>
        <vt:i4>0</vt:i4>
      </vt:variant>
      <vt:variant>
        <vt:i4>5</vt:i4>
      </vt:variant>
      <vt:variant>
        <vt:lpwstr/>
      </vt:variant>
      <vt:variant>
        <vt:lpwstr>_Toc465949844</vt:lpwstr>
      </vt:variant>
      <vt:variant>
        <vt:i4>1376317</vt:i4>
      </vt:variant>
      <vt:variant>
        <vt:i4>64</vt:i4>
      </vt:variant>
      <vt:variant>
        <vt:i4>0</vt:i4>
      </vt:variant>
      <vt:variant>
        <vt:i4>5</vt:i4>
      </vt:variant>
      <vt:variant>
        <vt:lpwstr/>
      </vt:variant>
      <vt:variant>
        <vt:lpwstr>_Toc465949843</vt:lpwstr>
      </vt:variant>
      <vt:variant>
        <vt:i4>1376317</vt:i4>
      </vt:variant>
      <vt:variant>
        <vt:i4>58</vt:i4>
      </vt:variant>
      <vt:variant>
        <vt:i4>0</vt:i4>
      </vt:variant>
      <vt:variant>
        <vt:i4>5</vt:i4>
      </vt:variant>
      <vt:variant>
        <vt:lpwstr/>
      </vt:variant>
      <vt:variant>
        <vt:lpwstr>_Toc465949842</vt:lpwstr>
      </vt:variant>
      <vt:variant>
        <vt:i4>1376317</vt:i4>
      </vt:variant>
      <vt:variant>
        <vt:i4>52</vt:i4>
      </vt:variant>
      <vt:variant>
        <vt:i4>0</vt:i4>
      </vt:variant>
      <vt:variant>
        <vt:i4>5</vt:i4>
      </vt:variant>
      <vt:variant>
        <vt:lpwstr/>
      </vt:variant>
      <vt:variant>
        <vt:lpwstr>_Toc465949841</vt:lpwstr>
      </vt:variant>
      <vt:variant>
        <vt:i4>1376317</vt:i4>
      </vt:variant>
      <vt:variant>
        <vt:i4>46</vt:i4>
      </vt:variant>
      <vt:variant>
        <vt:i4>0</vt:i4>
      </vt:variant>
      <vt:variant>
        <vt:i4>5</vt:i4>
      </vt:variant>
      <vt:variant>
        <vt:lpwstr/>
      </vt:variant>
      <vt:variant>
        <vt:lpwstr>_Toc465949840</vt:lpwstr>
      </vt:variant>
      <vt:variant>
        <vt:i4>1179709</vt:i4>
      </vt:variant>
      <vt:variant>
        <vt:i4>40</vt:i4>
      </vt:variant>
      <vt:variant>
        <vt:i4>0</vt:i4>
      </vt:variant>
      <vt:variant>
        <vt:i4>5</vt:i4>
      </vt:variant>
      <vt:variant>
        <vt:lpwstr/>
      </vt:variant>
      <vt:variant>
        <vt:lpwstr>_Toc465949839</vt:lpwstr>
      </vt:variant>
      <vt:variant>
        <vt:i4>1179709</vt:i4>
      </vt:variant>
      <vt:variant>
        <vt:i4>34</vt:i4>
      </vt:variant>
      <vt:variant>
        <vt:i4>0</vt:i4>
      </vt:variant>
      <vt:variant>
        <vt:i4>5</vt:i4>
      </vt:variant>
      <vt:variant>
        <vt:lpwstr/>
      </vt:variant>
      <vt:variant>
        <vt:lpwstr>_Toc465949838</vt:lpwstr>
      </vt:variant>
      <vt:variant>
        <vt:i4>1179709</vt:i4>
      </vt:variant>
      <vt:variant>
        <vt:i4>28</vt:i4>
      </vt:variant>
      <vt:variant>
        <vt:i4>0</vt:i4>
      </vt:variant>
      <vt:variant>
        <vt:i4>5</vt:i4>
      </vt:variant>
      <vt:variant>
        <vt:lpwstr/>
      </vt:variant>
      <vt:variant>
        <vt:lpwstr>_Toc465949837</vt:lpwstr>
      </vt:variant>
      <vt:variant>
        <vt:i4>1179709</vt:i4>
      </vt:variant>
      <vt:variant>
        <vt:i4>22</vt:i4>
      </vt:variant>
      <vt:variant>
        <vt:i4>0</vt:i4>
      </vt:variant>
      <vt:variant>
        <vt:i4>5</vt:i4>
      </vt:variant>
      <vt:variant>
        <vt:lpwstr/>
      </vt:variant>
      <vt:variant>
        <vt:lpwstr>_Toc465949836</vt:lpwstr>
      </vt:variant>
      <vt:variant>
        <vt:i4>1179709</vt:i4>
      </vt:variant>
      <vt:variant>
        <vt:i4>16</vt:i4>
      </vt:variant>
      <vt:variant>
        <vt:i4>0</vt:i4>
      </vt:variant>
      <vt:variant>
        <vt:i4>5</vt:i4>
      </vt:variant>
      <vt:variant>
        <vt:lpwstr/>
      </vt:variant>
      <vt:variant>
        <vt:lpwstr>_Toc465949835</vt:lpwstr>
      </vt:variant>
      <vt:variant>
        <vt:i4>1179709</vt:i4>
      </vt:variant>
      <vt:variant>
        <vt:i4>10</vt:i4>
      </vt:variant>
      <vt:variant>
        <vt:i4>0</vt:i4>
      </vt:variant>
      <vt:variant>
        <vt:i4>5</vt:i4>
      </vt:variant>
      <vt:variant>
        <vt:lpwstr/>
      </vt:variant>
      <vt:variant>
        <vt:lpwstr>_Toc465949834</vt:lpwstr>
      </vt:variant>
      <vt:variant>
        <vt:i4>1179709</vt:i4>
      </vt:variant>
      <vt:variant>
        <vt:i4>4</vt:i4>
      </vt:variant>
      <vt:variant>
        <vt:i4>0</vt:i4>
      </vt:variant>
      <vt:variant>
        <vt:i4>5</vt:i4>
      </vt:variant>
      <vt:variant>
        <vt:lpwstr/>
      </vt:variant>
      <vt:variant>
        <vt:lpwstr>_Toc465949833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Risk Management Policy Template</dc:title>
  <dc:subject/>
  <dc:creator>allen</dc:creator>
  <cp:keywords/>
  <cp:lastModifiedBy>Heather Colter</cp:lastModifiedBy>
  <cp:revision>3</cp:revision>
  <cp:lastPrinted>2018-03-02T17:18:00Z</cp:lastPrinted>
  <dcterms:created xsi:type="dcterms:W3CDTF">2018-05-14T22:19:00Z</dcterms:created>
  <dcterms:modified xsi:type="dcterms:W3CDTF">2019-10-07T23:18:00Z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TC010770721033</vt:lpwstr>
  </property>
  <property fmtid="{D5CDD505-2E9C-101B-9397-08002B2CF9AE}" pid="3" name="Business Unit">
    <vt:lpwstr>Regulation and Credit Risk Assessment</vt:lpwstr>
  </property>
  <property fmtid="{D5CDD505-2E9C-101B-9397-08002B2CF9AE}" pid="4" name="ContentType">
    <vt:lpwstr>Document</vt:lpwstr>
  </property>
  <property fmtid="{D5CDD505-2E9C-101B-9397-08002B2CF9AE}" pid="5" name="EmailTo">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0x0101007E20B69404FF714BB9052A9103519618</vt:lpwstr>
  </property>
  <property fmtid="{D5CDD505-2E9C-101B-9397-08002B2CF9AE}" pid="11" name="PublishingExpirationDate">
    <vt:lpwstr/>
  </property>
  <property fmtid="{D5CDD505-2E9C-101B-9397-08002B2CF9AE}" pid="12" name="PublishingStartDate">
    <vt:lpwstr/>
  </property>
  <property fmtid="{D5CDD505-2E9C-101B-9397-08002B2CF9AE}" pid="13" name="CUDGCClassification">
    <vt:lpwstr>12;#Credit Risk Management|2310f5e5-1cdd-4b42-9a01-d4b37f5f425c</vt:lpwstr>
  </property>
  <property fmtid="{D5CDD505-2E9C-101B-9397-08002B2CF9AE}" pid="14" name="CUDGCYear">
    <vt:lpwstr>65;#2018|fa011b89-45dc-47d0-bf20-8107743cabb9</vt:lpwstr>
  </property>
</Properties>
</file>